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347" w:rsidRPr="0013519E" w:rsidRDefault="00CB0347">
      <w:pPr>
        <w:rPr>
          <w:b/>
          <w:sz w:val="32"/>
        </w:rPr>
      </w:pPr>
      <w:bookmarkStart w:id="0" w:name="_GoBack"/>
      <w:bookmarkEnd w:id="0"/>
      <w:proofErr w:type="spellStart"/>
      <w:r w:rsidRPr="0013519E">
        <w:rPr>
          <w:b/>
          <w:sz w:val="32"/>
        </w:rPr>
        <w:t>InfraRed</w:t>
      </w:r>
      <w:proofErr w:type="spellEnd"/>
      <w:r w:rsidRPr="0013519E">
        <w:rPr>
          <w:b/>
          <w:sz w:val="32"/>
        </w:rPr>
        <w:t xml:space="preserve"> Imager and Spectrometer (IRIS)</w:t>
      </w:r>
    </w:p>
    <w:p w:rsidR="00CB0347" w:rsidRDefault="00CB0347"/>
    <w:p w:rsidR="00CB0347" w:rsidRPr="0013519E" w:rsidRDefault="00CB0347">
      <w:pPr>
        <w:rPr>
          <w:b/>
          <w:sz w:val="28"/>
        </w:rPr>
      </w:pPr>
      <w:r w:rsidRPr="0013519E">
        <w:rPr>
          <w:b/>
          <w:sz w:val="28"/>
        </w:rPr>
        <w:t>Science Objectives</w:t>
      </w:r>
    </w:p>
    <w:p w:rsidR="00CB0347" w:rsidRDefault="00CB0347"/>
    <w:p w:rsidR="00CB0347" w:rsidRDefault="00CB0347" w:rsidP="00BC568F">
      <w:pPr>
        <w:numPr>
          <w:ilvl w:val="0"/>
          <w:numId w:val="1"/>
        </w:numPr>
      </w:pPr>
      <w:r>
        <w:t>Orbital motions of stars around Galactic Center as a test of General Relativity</w:t>
      </w:r>
    </w:p>
    <w:p w:rsidR="00BC568F" w:rsidRDefault="00BC568F" w:rsidP="00BC568F">
      <w:pPr>
        <w:numPr>
          <w:ilvl w:val="0"/>
          <w:numId w:val="1"/>
        </w:numPr>
      </w:pPr>
      <w:r>
        <w:t>Influence of the first galaxies on the intergalactic medium</w:t>
      </w:r>
    </w:p>
    <w:p w:rsidR="00BC568F" w:rsidRDefault="00BC568F" w:rsidP="00BC568F">
      <w:pPr>
        <w:numPr>
          <w:ilvl w:val="0"/>
          <w:numId w:val="1"/>
        </w:numPr>
      </w:pPr>
      <w:r>
        <w:t>Spatial dissection of forming galaxies at z = 2-3</w:t>
      </w:r>
    </w:p>
    <w:p w:rsidR="00BC568F" w:rsidRDefault="00BC568F" w:rsidP="00BC568F">
      <w:pPr>
        <w:numPr>
          <w:ilvl w:val="0"/>
          <w:numId w:val="1"/>
        </w:numPr>
      </w:pPr>
      <w:r>
        <w:t>Supermassive black holes beyond the local neighborhood</w:t>
      </w:r>
    </w:p>
    <w:p w:rsidR="00BC568F" w:rsidRDefault="00BC568F" w:rsidP="00BC568F">
      <w:pPr>
        <w:numPr>
          <w:ilvl w:val="0"/>
          <w:numId w:val="1"/>
        </w:numPr>
      </w:pPr>
      <w:r>
        <w:t>Resolved stellar populations in galaxies out to the Virgo cluster</w:t>
      </w:r>
    </w:p>
    <w:p w:rsidR="00BC568F" w:rsidRDefault="00BC568F" w:rsidP="00BC568F">
      <w:pPr>
        <w:numPr>
          <w:ilvl w:val="0"/>
          <w:numId w:val="1"/>
        </w:numPr>
      </w:pPr>
      <w:r>
        <w:t>Surface physics of outer planets and satellites</w:t>
      </w:r>
    </w:p>
    <w:p w:rsidR="00BC568F" w:rsidRDefault="00BC568F" w:rsidP="00BC568F">
      <w:pPr>
        <w:ind w:left="7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8640"/>
      </w:tblGrid>
      <w:tr w:rsidR="00BC568F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:rsidR="00BC568F" w:rsidRDefault="002925D8">
            <w:r>
              <w:rPr>
                <w:noProof/>
              </w:rPr>
              <w:drawing>
                <wp:inline distT="0" distB="0" distL="0" distR="0">
                  <wp:extent cx="5476875" cy="2238375"/>
                  <wp:effectExtent l="0" t="0" r="0" b="0"/>
                  <wp:docPr id="1" name="Picture 1" descr="IRIS_Io_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RIS_Io_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8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68F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:rsidR="00BC568F" w:rsidRDefault="00BC568F">
            <w:r>
              <w:t xml:space="preserve">Figure 1:  Simulations of Io Jupiter-facing hemisphere in H-band (Courtesy of Franck </w:t>
            </w:r>
            <w:proofErr w:type="spellStart"/>
            <w:r>
              <w:t>Marchis</w:t>
            </w:r>
            <w:proofErr w:type="spellEnd"/>
            <w:r>
              <w:t>, UC Berkeley/SETI). The resolution of TMT at 1 µm is 7 mas (25 km at the distance of Jupiter). The “A” and “B” labels mark active volcanic sites.</w:t>
            </w:r>
          </w:p>
        </w:tc>
      </w:tr>
    </w:tbl>
    <w:p w:rsidR="00BC568F" w:rsidRDefault="00BC568F"/>
    <w:p w:rsidR="00BC568F" w:rsidRPr="0013519E" w:rsidRDefault="00BC568F">
      <w:pPr>
        <w:rPr>
          <w:b/>
          <w:sz w:val="28"/>
        </w:rPr>
      </w:pPr>
      <w:r w:rsidRPr="0013519E">
        <w:rPr>
          <w:b/>
          <w:sz w:val="28"/>
        </w:rPr>
        <w:t>Top-level Observatory Requirements</w:t>
      </w:r>
    </w:p>
    <w:p w:rsidR="00BC568F" w:rsidRDefault="00BC568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203"/>
        <w:gridCol w:w="2492"/>
        <w:gridCol w:w="3935"/>
      </w:tblGrid>
      <w:tr w:rsidR="00BC568F">
        <w:tc>
          <w:tcPr>
            <w:tcW w:w="2235" w:type="dxa"/>
          </w:tcPr>
          <w:p w:rsidR="00BC568F" w:rsidRPr="00341DF6" w:rsidRDefault="00BC568F" w:rsidP="00BC568F">
            <w:pPr>
              <w:jc w:val="center"/>
              <w:rPr>
                <w:b/>
              </w:rPr>
            </w:pPr>
            <w:r w:rsidRPr="00341DF6">
              <w:rPr>
                <w:b/>
              </w:rPr>
              <w:t>Requirement ID</w:t>
            </w:r>
          </w:p>
        </w:tc>
        <w:tc>
          <w:tcPr>
            <w:tcW w:w="2551" w:type="dxa"/>
          </w:tcPr>
          <w:p w:rsidR="00BC568F" w:rsidRPr="00341DF6" w:rsidRDefault="00BC568F" w:rsidP="00BC568F">
            <w:pPr>
              <w:jc w:val="center"/>
              <w:rPr>
                <w:b/>
              </w:rPr>
            </w:pPr>
            <w:r w:rsidRPr="00341DF6">
              <w:rPr>
                <w:b/>
              </w:rPr>
              <w:t>Description</w:t>
            </w:r>
          </w:p>
        </w:tc>
        <w:tc>
          <w:tcPr>
            <w:tcW w:w="4070" w:type="dxa"/>
          </w:tcPr>
          <w:p w:rsidR="00BC568F" w:rsidRPr="00341DF6" w:rsidRDefault="00BC568F" w:rsidP="00BC568F">
            <w:pPr>
              <w:jc w:val="center"/>
              <w:rPr>
                <w:b/>
              </w:rPr>
            </w:pPr>
            <w:r w:rsidRPr="00341DF6">
              <w:rPr>
                <w:b/>
              </w:rPr>
              <w:t>Requirement</w:t>
            </w:r>
          </w:p>
        </w:tc>
      </w:tr>
      <w:tr w:rsidR="00BC568F">
        <w:tc>
          <w:tcPr>
            <w:tcW w:w="2235" w:type="dxa"/>
          </w:tcPr>
          <w:p w:rsidR="00BC568F" w:rsidRDefault="00BC568F" w:rsidP="00BC568F">
            <w:pPr>
              <w:jc w:val="center"/>
            </w:pPr>
            <w:r>
              <w:t>[REQ-1-ORD-3740]</w:t>
            </w:r>
          </w:p>
        </w:tc>
        <w:tc>
          <w:tcPr>
            <w:tcW w:w="2551" w:type="dxa"/>
          </w:tcPr>
          <w:p w:rsidR="00BC568F" w:rsidRDefault="00BC568F" w:rsidP="00BC568F">
            <w:r>
              <w:t>Wavelength range</w:t>
            </w:r>
          </w:p>
        </w:tc>
        <w:tc>
          <w:tcPr>
            <w:tcW w:w="4070" w:type="dxa"/>
          </w:tcPr>
          <w:p w:rsidR="00BC568F" w:rsidRDefault="00BC568F" w:rsidP="00BC568F">
            <w:r>
              <w:t>0.8 – 2.5 µm</w:t>
            </w:r>
          </w:p>
        </w:tc>
      </w:tr>
      <w:tr w:rsidR="00BC568F">
        <w:tc>
          <w:tcPr>
            <w:tcW w:w="2235" w:type="dxa"/>
          </w:tcPr>
          <w:p w:rsidR="00BC568F" w:rsidRDefault="00BC568F" w:rsidP="00BC568F">
            <w:pPr>
              <w:jc w:val="center"/>
            </w:pPr>
            <w:r>
              <w:t>[REQ-1-ORD-3745]</w:t>
            </w:r>
          </w:p>
        </w:tc>
        <w:tc>
          <w:tcPr>
            <w:tcW w:w="2551" w:type="dxa"/>
          </w:tcPr>
          <w:p w:rsidR="00BC568F" w:rsidRDefault="00BC568F" w:rsidP="00BC568F">
            <w:r>
              <w:t>Image Quality</w:t>
            </w:r>
          </w:p>
        </w:tc>
        <w:tc>
          <w:tcPr>
            <w:tcW w:w="4070" w:type="dxa"/>
          </w:tcPr>
          <w:p w:rsidR="00BC568F" w:rsidRDefault="00BC568F" w:rsidP="00BC568F">
            <w:r>
              <w:t xml:space="preserve">Aberrations uncorrectable by an order 60x60 AO system should not add </w:t>
            </w:r>
            <w:proofErr w:type="spellStart"/>
            <w:r>
              <w:t>wavefront</w:t>
            </w:r>
            <w:proofErr w:type="spellEnd"/>
            <w:r>
              <w:t xml:space="preserve"> errors larger than 30 nm RMS</w:t>
            </w:r>
          </w:p>
        </w:tc>
      </w:tr>
      <w:tr w:rsidR="00BC568F">
        <w:tc>
          <w:tcPr>
            <w:tcW w:w="2235" w:type="dxa"/>
          </w:tcPr>
          <w:p w:rsidR="00BC568F" w:rsidRDefault="00BC568F" w:rsidP="00BC568F">
            <w:pPr>
              <w:jc w:val="center"/>
            </w:pPr>
            <w:r>
              <w:t>[REQ-1-ORD-3750]</w:t>
            </w:r>
          </w:p>
        </w:tc>
        <w:tc>
          <w:tcPr>
            <w:tcW w:w="2551" w:type="dxa"/>
          </w:tcPr>
          <w:p w:rsidR="00BC568F" w:rsidRDefault="00BC568F" w:rsidP="00BC568F">
            <w:r>
              <w:t>Field of View, IFU</w:t>
            </w:r>
          </w:p>
        </w:tc>
        <w:tc>
          <w:tcPr>
            <w:tcW w:w="4070" w:type="dxa"/>
          </w:tcPr>
          <w:p w:rsidR="00BC568F" w:rsidRDefault="00BC568F" w:rsidP="00BC568F">
            <w:r>
              <w:t xml:space="preserve">Up to 3 </w:t>
            </w:r>
            <w:proofErr w:type="spellStart"/>
            <w:r>
              <w:t>arcsec</w:t>
            </w:r>
            <w:proofErr w:type="spellEnd"/>
            <w:r>
              <w:t xml:space="preserve"> for integral field mode</w:t>
            </w:r>
          </w:p>
        </w:tc>
      </w:tr>
      <w:tr w:rsidR="00BC568F">
        <w:tc>
          <w:tcPr>
            <w:tcW w:w="2235" w:type="dxa"/>
          </w:tcPr>
          <w:p w:rsidR="00BC568F" w:rsidRDefault="00BC568F" w:rsidP="00BC568F">
            <w:pPr>
              <w:jc w:val="center"/>
            </w:pPr>
            <w:r>
              <w:t>[REQ-1-ORD-3755]</w:t>
            </w:r>
          </w:p>
        </w:tc>
        <w:tc>
          <w:tcPr>
            <w:tcW w:w="2551" w:type="dxa"/>
          </w:tcPr>
          <w:p w:rsidR="00BC568F" w:rsidRDefault="00BC568F" w:rsidP="00BC568F">
            <w:r>
              <w:t>Field of View , imaging</w:t>
            </w:r>
          </w:p>
        </w:tc>
        <w:tc>
          <w:tcPr>
            <w:tcW w:w="4070" w:type="dxa"/>
          </w:tcPr>
          <w:p w:rsidR="00BC568F" w:rsidRDefault="00BC568F" w:rsidP="00BC568F">
            <w:r>
              <w:t xml:space="preserve">15x15 </w:t>
            </w:r>
            <w:proofErr w:type="spellStart"/>
            <w:r>
              <w:t>arcsec</w:t>
            </w:r>
            <w:proofErr w:type="spellEnd"/>
            <w:r w:rsidR="00CB0347">
              <w:rPr>
                <w:rStyle w:val="FootnoteReference"/>
              </w:rPr>
              <w:footnoteReference w:id="1"/>
            </w:r>
            <w:r>
              <w:t xml:space="preserve"> for imaging mode</w:t>
            </w:r>
          </w:p>
        </w:tc>
      </w:tr>
      <w:tr w:rsidR="00BC568F">
        <w:tc>
          <w:tcPr>
            <w:tcW w:w="2235" w:type="dxa"/>
          </w:tcPr>
          <w:p w:rsidR="00BC568F" w:rsidRDefault="00BC568F" w:rsidP="00BC568F">
            <w:pPr>
              <w:jc w:val="center"/>
            </w:pPr>
            <w:r>
              <w:lastRenderedPageBreak/>
              <w:t>[REQ-1-ORD-3760]</w:t>
            </w:r>
          </w:p>
        </w:tc>
        <w:tc>
          <w:tcPr>
            <w:tcW w:w="2551" w:type="dxa"/>
          </w:tcPr>
          <w:p w:rsidR="00BC568F" w:rsidRDefault="00BC568F" w:rsidP="00BC568F">
            <w:r>
              <w:t>Detector Sampling</w:t>
            </w:r>
          </w:p>
        </w:tc>
        <w:tc>
          <w:tcPr>
            <w:tcW w:w="4070" w:type="dxa"/>
          </w:tcPr>
          <w:p w:rsidR="00BC568F" w:rsidRDefault="00BC568F" w:rsidP="00BC568F">
            <w:r>
              <w:t xml:space="preserve">0.004 </w:t>
            </w:r>
            <w:proofErr w:type="spellStart"/>
            <w:r>
              <w:t>arcsec</w:t>
            </w:r>
            <w:proofErr w:type="spellEnd"/>
            <w:r>
              <w:t xml:space="preserve"> per pixel (</w:t>
            </w:r>
            <w:proofErr w:type="spellStart"/>
            <w:r>
              <w:t>Nyquist</w:t>
            </w:r>
            <w:proofErr w:type="spellEnd"/>
            <w:r>
              <w:t xml:space="preserve"> sampled (</w:t>
            </w:r>
            <w:r>
              <w:sym w:font="Symbol" w:char="F06C"/>
            </w:r>
            <w:r>
              <w:t>/2D) over 4096 pixels for IFU)</w:t>
            </w:r>
          </w:p>
        </w:tc>
      </w:tr>
      <w:tr w:rsidR="00BC568F">
        <w:tc>
          <w:tcPr>
            <w:tcW w:w="2235" w:type="dxa"/>
          </w:tcPr>
          <w:p w:rsidR="00BC568F" w:rsidRDefault="00BC568F" w:rsidP="00BC568F">
            <w:pPr>
              <w:jc w:val="center"/>
            </w:pPr>
            <w:r>
              <w:t>[REQ-1-ORD-3765]</w:t>
            </w:r>
          </w:p>
        </w:tc>
        <w:tc>
          <w:tcPr>
            <w:tcW w:w="2551" w:type="dxa"/>
          </w:tcPr>
          <w:p w:rsidR="00BC568F" w:rsidRDefault="00BC568F" w:rsidP="00BC568F">
            <w:r>
              <w:t>Detector Sampling</w:t>
            </w:r>
          </w:p>
        </w:tc>
        <w:tc>
          <w:tcPr>
            <w:tcW w:w="4070" w:type="dxa"/>
          </w:tcPr>
          <w:p w:rsidR="00BC568F" w:rsidRDefault="00BC568F" w:rsidP="00BC568F">
            <w:r>
              <w:t xml:space="preserve">Plate scale adjustable 0.004, 0.010, 0.025, 0.050 </w:t>
            </w:r>
            <w:proofErr w:type="spellStart"/>
            <w:r>
              <w:t>arcsec</w:t>
            </w:r>
            <w:proofErr w:type="spellEnd"/>
            <w:r>
              <w:t>/pixel for IFU</w:t>
            </w:r>
          </w:p>
        </w:tc>
      </w:tr>
      <w:tr w:rsidR="00BC568F">
        <w:tc>
          <w:tcPr>
            <w:tcW w:w="2235" w:type="dxa"/>
          </w:tcPr>
          <w:p w:rsidR="00BC568F" w:rsidRDefault="00BC568F" w:rsidP="00BC568F">
            <w:pPr>
              <w:jc w:val="center"/>
            </w:pPr>
            <w:r>
              <w:t>[REQ-1-ORD-3770]</w:t>
            </w:r>
          </w:p>
        </w:tc>
        <w:tc>
          <w:tcPr>
            <w:tcW w:w="2551" w:type="dxa"/>
          </w:tcPr>
          <w:p w:rsidR="00BC568F" w:rsidRDefault="00BC568F" w:rsidP="00BC568F">
            <w:r>
              <w:t>Detector Sampling</w:t>
            </w:r>
          </w:p>
        </w:tc>
        <w:tc>
          <w:tcPr>
            <w:tcW w:w="4070" w:type="dxa"/>
          </w:tcPr>
          <w:p w:rsidR="00BC568F" w:rsidRDefault="00BC568F" w:rsidP="00BC568F">
            <w:proofErr w:type="spellStart"/>
            <w:r>
              <w:t>Nyquist</w:t>
            </w:r>
            <w:proofErr w:type="spellEnd"/>
            <w:r>
              <w:t xml:space="preserve"> sampled (</w:t>
            </w:r>
            <w:r>
              <w:sym w:font="Symbol" w:char="F06C"/>
            </w:r>
            <w:r>
              <w:t xml:space="preserve">/2D) (0.004 </w:t>
            </w:r>
            <w:proofErr w:type="spellStart"/>
            <w:r>
              <w:t>arcsec</w:t>
            </w:r>
            <w:proofErr w:type="spellEnd"/>
            <w:r>
              <w:t xml:space="preserve">) over 10x10 </w:t>
            </w:r>
            <w:proofErr w:type="spellStart"/>
            <w:r>
              <w:t>arcsec</w:t>
            </w:r>
            <w:proofErr w:type="spellEnd"/>
            <w:r>
              <w:t xml:space="preserve"> for imaging</w:t>
            </w:r>
          </w:p>
        </w:tc>
      </w:tr>
      <w:tr w:rsidR="00BC568F">
        <w:tc>
          <w:tcPr>
            <w:tcW w:w="2235" w:type="dxa"/>
          </w:tcPr>
          <w:p w:rsidR="00BC568F" w:rsidRDefault="00BC568F" w:rsidP="00BC568F">
            <w:pPr>
              <w:jc w:val="center"/>
            </w:pPr>
            <w:r>
              <w:t>[REQ-1-ORD-3775]</w:t>
            </w:r>
          </w:p>
        </w:tc>
        <w:tc>
          <w:tcPr>
            <w:tcW w:w="2551" w:type="dxa"/>
          </w:tcPr>
          <w:p w:rsidR="00BC568F" w:rsidRDefault="00BC568F" w:rsidP="00BC568F">
            <w:r>
              <w:t>Detector Sampling</w:t>
            </w:r>
          </w:p>
        </w:tc>
        <w:tc>
          <w:tcPr>
            <w:tcW w:w="4070" w:type="dxa"/>
          </w:tcPr>
          <w:p w:rsidR="00BC568F" w:rsidRDefault="00BC568F" w:rsidP="00BC568F">
            <w:r>
              <w:t>Smaller wavelength coverage (</w:t>
            </w:r>
            <w:r>
              <w:sym w:font="Symbol" w:char="F044"/>
            </w:r>
            <w:r>
              <w:sym w:font="Symbol" w:char="F06C"/>
            </w:r>
            <w:r>
              <w:t>/</w:t>
            </w:r>
            <w:r>
              <w:sym w:font="Symbol" w:char="F06C"/>
            </w:r>
            <w:r>
              <w:sym w:font="Symbol" w:char="F0A3"/>
            </w:r>
            <w:r>
              <w:t xml:space="preserve"> 0.05) is acceptable for area coverage equivalent to 128x128 spatial pixels</w:t>
            </w:r>
          </w:p>
        </w:tc>
      </w:tr>
      <w:tr w:rsidR="00BC568F">
        <w:tc>
          <w:tcPr>
            <w:tcW w:w="2235" w:type="dxa"/>
          </w:tcPr>
          <w:p w:rsidR="00BC568F" w:rsidRDefault="00BC568F" w:rsidP="00BC568F">
            <w:pPr>
              <w:jc w:val="center"/>
            </w:pPr>
            <w:r>
              <w:t>[REQ-1-ORD-3780]</w:t>
            </w:r>
          </w:p>
        </w:tc>
        <w:tc>
          <w:tcPr>
            <w:tcW w:w="2551" w:type="dxa"/>
          </w:tcPr>
          <w:p w:rsidR="00BC568F" w:rsidRDefault="00BC568F" w:rsidP="00BC568F">
            <w:r>
              <w:t>Spectral Resolution</w:t>
            </w:r>
          </w:p>
        </w:tc>
        <w:tc>
          <w:tcPr>
            <w:tcW w:w="4070" w:type="dxa"/>
          </w:tcPr>
          <w:p w:rsidR="00BC568F" w:rsidRDefault="00BC568F" w:rsidP="00BC568F">
            <w:r>
              <w:t xml:space="preserve">R=4000 over J,H,K bands, one band at </w:t>
            </w:r>
            <w:proofErr w:type="spellStart"/>
            <w:r>
              <w:t>at</w:t>
            </w:r>
            <w:proofErr w:type="spellEnd"/>
            <w:r>
              <w:t xml:space="preserve"> a time</w:t>
            </w:r>
          </w:p>
          <w:p w:rsidR="00BC568F" w:rsidRDefault="00BC568F" w:rsidP="00BC568F">
            <w:r>
              <w:t>R=5-100 for imaging mode</w:t>
            </w:r>
          </w:p>
        </w:tc>
      </w:tr>
      <w:tr w:rsidR="00BC568F">
        <w:tc>
          <w:tcPr>
            <w:tcW w:w="2235" w:type="dxa"/>
          </w:tcPr>
          <w:p w:rsidR="00BC568F" w:rsidRDefault="00BC568F" w:rsidP="00BC568F">
            <w:pPr>
              <w:jc w:val="center"/>
            </w:pPr>
            <w:r>
              <w:t>[REQ-1-ORD-3785]</w:t>
            </w:r>
          </w:p>
        </w:tc>
        <w:tc>
          <w:tcPr>
            <w:tcW w:w="2551" w:type="dxa"/>
          </w:tcPr>
          <w:p w:rsidR="00BC568F" w:rsidRDefault="00BC568F" w:rsidP="00BC568F">
            <w:r>
              <w:t>Throughput</w:t>
            </w:r>
          </w:p>
        </w:tc>
        <w:tc>
          <w:tcPr>
            <w:tcW w:w="4070" w:type="dxa"/>
          </w:tcPr>
          <w:p w:rsidR="00BC568F" w:rsidRDefault="00BC568F" w:rsidP="00BC568F">
            <w:r>
              <w:t>&gt; 30%, not including telescope or NFIRAOS</w:t>
            </w:r>
          </w:p>
        </w:tc>
      </w:tr>
      <w:tr w:rsidR="00BC568F">
        <w:tc>
          <w:tcPr>
            <w:tcW w:w="2235" w:type="dxa"/>
          </w:tcPr>
          <w:p w:rsidR="00BC568F" w:rsidRDefault="00BC568F" w:rsidP="00BC568F">
            <w:pPr>
              <w:jc w:val="center"/>
            </w:pPr>
            <w:r>
              <w:t>[REQ-1-ORD-3790]</w:t>
            </w:r>
          </w:p>
        </w:tc>
        <w:tc>
          <w:tcPr>
            <w:tcW w:w="2551" w:type="dxa"/>
          </w:tcPr>
          <w:p w:rsidR="00BC568F" w:rsidRDefault="00BC568F" w:rsidP="00BC568F">
            <w:r>
              <w:t>Instrument background</w:t>
            </w:r>
          </w:p>
        </w:tc>
        <w:tc>
          <w:tcPr>
            <w:tcW w:w="4070" w:type="dxa"/>
          </w:tcPr>
          <w:p w:rsidR="00BC568F" w:rsidRDefault="00BC568F" w:rsidP="00BC568F">
            <w:r>
              <w:t xml:space="preserve">The instrument should not increase the (inter-OH) background by more than 5% (TBC) over the sum </w:t>
            </w:r>
            <w:proofErr w:type="gramStart"/>
            <w:r>
              <w:t>of:</w:t>
            </w:r>
            <w:proofErr w:type="gramEnd"/>
            <w:r>
              <w:t xml:space="preserve"> inter-OH sky, telescope and NFIRAOS background.</w:t>
            </w:r>
          </w:p>
        </w:tc>
      </w:tr>
      <w:tr w:rsidR="00BC568F">
        <w:tc>
          <w:tcPr>
            <w:tcW w:w="2235" w:type="dxa"/>
          </w:tcPr>
          <w:p w:rsidR="00BC568F" w:rsidRDefault="00BC568F" w:rsidP="00BC568F">
            <w:pPr>
              <w:jc w:val="center"/>
            </w:pPr>
            <w:r>
              <w:t>[REQ-1-ORD-3795]</w:t>
            </w:r>
          </w:p>
        </w:tc>
        <w:tc>
          <w:tcPr>
            <w:tcW w:w="2551" w:type="dxa"/>
          </w:tcPr>
          <w:p w:rsidR="00BC568F" w:rsidRDefault="00BC568F" w:rsidP="00BC568F">
            <w:r>
              <w:t>Detector</w:t>
            </w:r>
          </w:p>
        </w:tc>
        <w:tc>
          <w:tcPr>
            <w:tcW w:w="4070" w:type="dxa"/>
          </w:tcPr>
          <w:p w:rsidR="00BC568F" w:rsidRDefault="00BC568F" w:rsidP="00BC568F">
            <w:r>
              <w:t>Detector dark current and read noise should not increase the effective background by more than 5% for an integration time of 2000s.</w:t>
            </w:r>
          </w:p>
        </w:tc>
      </w:tr>
    </w:tbl>
    <w:p w:rsidR="00BC568F" w:rsidRDefault="00BC568F"/>
    <w:p w:rsidR="00BC568F" w:rsidRPr="0013519E" w:rsidRDefault="00BC568F">
      <w:pPr>
        <w:rPr>
          <w:b/>
          <w:sz w:val="28"/>
        </w:rPr>
      </w:pPr>
      <w:r w:rsidRPr="0013519E">
        <w:rPr>
          <w:b/>
          <w:sz w:val="28"/>
        </w:rPr>
        <w:t xml:space="preserve">Description </w:t>
      </w:r>
    </w:p>
    <w:p w:rsidR="00BC568F" w:rsidRDefault="00BC568F"/>
    <w:p w:rsidR="00BC568F" w:rsidRPr="00402253" w:rsidRDefault="00BC568F" w:rsidP="00BC568F">
      <w:pPr>
        <w:jc w:val="both"/>
      </w:pPr>
      <w:r w:rsidRPr="007B2E65">
        <w:t xml:space="preserve">IRIS is a diffraction-limited integral field spectrometer and imager designed to work with NFIRAOS. </w:t>
      </w:r>
      <w:r>
        <w:t xml:space="preserve">Its top requirements are given in Table 1, and the layout of the science </w:t>
      </w:r>
      <w:proofErr w:type="spellStart"/>
      <w:proofErr w:type="gramStart"/>
      <w:r>
        <w:t>dewar</w:t>
      </w:r>
      <w:proofErr w:type="spellEnd"/>
      <w:proofErr w:type="gramEnd"/>
      <w:r>
        <w:t xml:space="preserve"> is shown in Figure 2. IRIS</w:t>
      </w:r>
      <w:r w:rsidRPr="007B2E65">
        <w:t xml:space="preserve"> includes a set of deployable </w:t>
      </w:r>
      <w:proofErr w:type="spellStart"/>
      <w:r w:rsidRPr="007B2E65">
        <w:t>wavefront</w:t>
      </w:r>
      <w:proofErr w:type="spellEnd"/>
      <w:r w:rsidRPr="007B2E65">
        <w:t xml:space="preserve"> sensors that feed tip-tilt-focus signal back to NFIRAOS. The </w:t>
      </w:r>
      <w:r w:rsidR="00CB0347">
        <w:t>imager has a field of view of 34”x34</w:t>
      </w:r>
      <w:r w:rsidRPr="007B2E65">
        <w:t xml:space="preserve">” and deliver images with total </w:t>
      </w:r>
      <w:proofErr w:type="spellStart"/>
      <w:r w:rsidRPr="007B2E65">
        <w:t>wavefront</w:t>
      </w:r>
      <w:proofErr w:type="spellEnd"/>
      <w:r w:rsidRPr="007B2E65">
        <w:t xml:space="preserve"> errors under 30 nm. The spectrometer will take advantage of two slicing techniques that are suited to different types of science programs. A </w:t>
      </w:r>
      <w:proofErr w:type="spellStart"/>
      <w:r w:rsidRPr="007B2E65">
        <w:t>lenslet</w:t>
      </w:r>
      <w:proofErr w:type="spellEnd"/>
      <w:r w:rsidRPr="007B2E65">
        <w:t xml:space="preserve"> channel will maximize image quality whereas a slicer channel will maximize sensitivity. The </w:t>
      </w:r>
      <w:proofErr w:type="spellStart"/>
      <w:r w:rsidRPr="007B2E65">
        <w:t>lenslet</w:t>
      </w:r>
      <w:proofErr w:type="spellEnd"/>
      <w:r w:rsidRPr="007B2E65">
        <w:t xml:space="preserve"> </w:t>
      </w:r>
      <w:proofErr w:type="gramStart"/>
      <w:r w:rsidRPr="007B2E65">
        <w:t>will be used</w:t>
      </w:r>
      <w:proofErr w:type="gramEnd"/>
      <w:r w:rsidRPr="007B2E65">
        <w:t xml:space="preserve"> to observe at the finest plate scales. It is easy to expand spatially to &gt; 100x100 to sample the entire PSF even at </w:t>
      </w:r>
      <w:proofErr w:type="gramStart"/>
      <w:r w:rsidRPr="007B2E65">
        <w:t xml:space="preserve">4 </w:t>
      </w:r>
      <w:proofErr w:type="spellStart"/>
      <w:r w:rsidRPr="007B2E65">
        <w:t>milliarcsec</w:t>
      </w:r>
      <w:proofErr w:type="spellEnd"/>
      <w:proofErr w:type="gramEnd"/>
      <w:r w:rsidRPr="007B2E65">
        <w:t xml:space="preserve"> scale. It also has intrinsically low </w:t>
      </w:r>
      <w:proofErr w:type="spellStart"/>
      <w:r w:rsidRPr="007B2E65">
        <w:t>wavefront</w:t>
      </w:r>
      <w:proofErr w:type="spellEnd"/>
      <w:r w:rsidRPr="007B2E65">
        <w:t xml:space="preserve"> error because </w:t>
      </w:r>
      <w:proofErr w:type="spellStart"/>
      <w:r w:rsidRPr="007B2E65">
        <w:t>lensle</w:t>
      </w:r>
      <w:r>
        <w:t>t</w:t>
      </w:r>
      <w:r w:rsidRPr="007B2E65">
        <w:t>s</w:t>
      </w:r>
      <w:proofErr w:type="spellEnd"/>
      <w:r w:rsidRPr="007B2E65">
        <w:t xml:space="preserve"> sample the image plane. A slicer </w:t>
      </w:r>
      <w:proofErr w:type="gramStart"/>
      <w:r w:rsidRPr="007B2E65">
        <w:t>will be used</w:t>
      </w:r>
      <w:proofErr w:type="gramEnd"/>
      <w:r w:rsidRPr="007B2E65">
        <w:t xml:space="preserve"> to observe at coarser plate scale. Wavelength coverage </w:t>
      </w:r>
      <w:proofErr w:type="gramStart"/>
      <w:r w:rsidRPr="007B2E65">
        <w:t>can be easily expanded</w:t>
      </w:r>
      <w:proofErr w:type="gramEnd"/>
      <w:r w:rsidRPr="007B2E65">
        <w:t xml:space="preserve"> once a sufficiently large field is achieved at </w:t>
      </w:r>
      <w:r w:rsidR="007F7BBE">
        <w:t>coarse scale. Both IFU channels share the same</w:t>
      </w:r>
      <w:r w:rsidRPr="007B2E65">
        <w:t xml:space="preserve"> </w:t>
      </w:r>
      <w:proofErr w:type="spellStart"/>
      <w:r w:rsidRPr="007B2E65">
        <w:t>foreoptics</w:t>
      </w:r>
      <w:proofErr w:type="spellEnd"/>
      <w:r w:rsidRPr="007B2E65">
        <w:t xml:space="preserve"> </w:t>
      </w:r>
      <w:r w:rsidR="007F7BBE">
        <w:t xml:space="preserve">as the imager </w:t>
      </w:r>
      <w:r w:rsidRPr="007B2E65">
        <w:t xml:space="preserve">(collimator, filters, rotating pupil mask and crossed </w:t>
      </w:r>
      <w:proofErr w:type="spellStart"/>
      <w:r w:rsidRPr="007B2E65">
        <w:t>Ameci</w:t>
      </w:r>
      <w:proofErr w:type="spellEnd"/>
      <w:r w:rsidRPr="007B2E65">
        <w:t xml:space="preserve"> atmospheric dispersion corrector). The selection between the </w:t>
      </w:r>
      <w:proofErr w:type="spellStart"/>
      <w:r w:rsidRPr="007B2E65">
        <w:t>lenslet</w:t>
      </w:r>
      <w:proofErr w:type="spellEnd"/>
      <w:r w:rsidRPr="007B2E65">
        <w:t xml:space="preserve"> and slicer paths </w:t>
      </w:r>
      <w:proofErr w:type="gramStart"/>
      <w:r w:rsidRPr="007B2E65">
        <w:t>will be done</w:t>
      </w:r>
      <w:proofErr w:type="gramEnd"/>
      <w:r w:rsidRPr="007B2E65">
        <w:t xml:space="preserve"> with simple two-position stages, and the </w:t>
      </w:r>
      <w:r w:rsidRPr="007B2E65">
        <w:lastRenderedPageBreak/>
        <w:t>beams will share a common path at the grating. Following the grating, both channels will make use of the same camera and detector.</w:t>
      </w:r>
      <w:r>
        <w:t xml:space="preserve"> </w:t>
      </w:r>
    </w:p>
    <w:p w:rsidR="005C4F17" w:rsidRDefault="002925D8" w:rsidP="005C4F17">
      <w:pPr>
        <w:pStyle w:val="Astro2010RFI2Body"/>
        <w:keepNext/>
      </w:pPr>
      <w:r w:rsidRPr="005C4F17">
        <w:rPr>
          <w:rFonts w:ascii="Cambria" w:hAnsi="Cambria"/>
          <w:noProof/>
        </w:rPr>
        <w:drawing>
          <wp:inline distT="0" distB="0" distL="0" distR="0">
            <wp:extent cx="5486400" cy="4076700"/>
            <wp:effectExtent l="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F17" w:rsidRPr="005C4F17" w:rsidRDefault="005C4F17" w:rsidP="005C4F17">
      <w:pPr>
        <w:pStyle w:val="Caption"/>
        <w:jc w:val="both"/>
        <w:rPr>
          <w:rFonts w:eastAsia="Times New Roman" w:cs="Times-Roman"/>
          <w:b w:val="0"/>
          <w:bCs w:val="0"/>
          <w:color w:val="000000"/>
          <w:sz w:val="24"/>
          <w:szCs w:val="24"/>
        </w:rPr>
      </w:pPr>
      <w:r w:rsidRPr="005C4F17">
        <w:rPr>
          <w:rFonts w:eastAsia="Times New Roman" w:cs="Times-Roman"/>
          <w:b w:val="0"/>
          <w:bCs w:val="0"/>
          <w:color w:val="000000"/>
          <w:sz w:val="24"/>
          <w:szCs w:val="24"/>
        </w:rPr>
        <w:t xml:space="preserve">Figure 2: </w:t>
      </w:r>
      <w:proofErr w:type="spellStart"/>
      <w:r w:rsidRPr="005C4F17">
        <w:rPr>
          <w:rFonts w:eastAsia="Times New Roman" w:cs="Times-Roman"/>
          <w:b w:val="0"/>
          <w:bCs w:val="0"/>
          <w:color w:val="000000"/>
          <w:sz w:val="24"/>
          <w:szCs w:val="24"/>
        </w:rPr>
        <w:t>Opto</w:t>
      </w:r>
      <w:proofErr w:type="spellEnd"/>
      <w:r w:rsidRPr="005C4F17">
        <w:rPr>
          <w:rFonts w:eastAsia="Times New Roman" w:cs="Times-Roman"/>
          <w:b w:val="0"/>
          <w:bCs w:val="0"/>
          <w:color w:val="000000"/>
          <w:sz w:val="24"/>
          <w:szCs w:val="24"/>
        </w:rPr>
        <w:t xml:space="preserve">-mechanical layout of the IRIS science </w:t>
      </w:r>
      <w:proofErr w:type="spellStart"/>
      <w:proofErr w:type="gramStart"/>
      <w:r w:rsidRPr="005C4F17">
        <w:rPr>
          <w:rFonts w:eastAsia="Times New Roman" w:cs="Times-Roman"/>
          <w:b w:val="0"/>
          <w:bCs w:val="0"/>
          <w:color w:val="000000"/>
          <w:sz w:val="24"/>
          <w:szCs w:val="24"/>
        </w:rPr>
        <w:t>dewar</w:t>
      </w:r>
      <w:proofErr w:type="spellEnd"/>
      <w:proofErr w:type="gramEnd"/>
      <w:r w:rsidR="00B253E8">
        <w:rPr>
          <w:rFonts w:eastAsia="Times New Roman" w:cs="Times-Roman"/>
          <w:b w:val="0"/>
          <w:bCs w:val="0"/>
          <w:color w:val="000000"/>
          <w:sz w:val="24"/>
          <w:szCs w:val="24"/>
        </w:rPr>
        <w:t xml:space="preserve">. Top portion contains the On Instrument </w:t>
      </w:r>
      <w:proofErr w:type="spellStart"/>
      <w:r w:rsidR="00B253E8">
        <w:rPr>
          <w:rFonts w:eastAsia="Times New Roman" w:cs="Times-Roman"/>
          <w:b w:val="0"/>
          <w:bCs w:val="0"/>
          <w:color w:val="000000"/>
          <w:sz w:val="24"/>
          <w:szCs w:val="24"/>
        </w:rPr>
        <w:t>WaveFront</w:t>
      </w:r>
      <w:proofErr w:type="spellEnd"/>
      <w:r w:rsidR="00B253E8">
        <w:rPr>
          <w:rFonts w:eastAsia="Times New Roman" w:cs="Times-Roman"/>
          <w:b w:val="0"/>
          <w:bCs w:val="0"/>
          <w:color w:val="000000"/>
          <w:sz w:val="24"/>
          <w:szCs w:val="24"/>
        </w:rPr>
        <w:t xml:space="preserve"> Sensors (OIWFS), attachment frame to the NFIRAOS adaptive optics system </w:t>
      </w:r>
      <w:proofErr w:type="gramStart"/>
      <w:r w:rsidR="00B253E8">
        <w:rPr>
          <w:rFonts w:eastAsia="Times New Roman" w:cs="Times-Roman"/>
          <w:b w:val="0"/>
          <w:bCs w:val="0"/>
          <w:color w:val="000000"/>
          <w:sz w:val="24"/>
          <w:szCs w:val="24"/>
        </w:rPr>
        <w:t>is shown</w:t>
      </w:r>
      <w:proofErr w:type="gramEnd"/>
      <w:r w:rsidR="00B253E8">
        <w:rPr>
          <w:rFonts w:eastAsia="Times New Roman" w:cs="Times-Roman"/>
          <w:b w:val="0"/>
          <w:bCs w:val="0"/>
          <w:color w:val="000000"/>
          <w:sz w:val="24"/>
          <w:szCs w:val="24"/>
        </w:rPr>
        <w:t xml:space="preserve"> in purple. The 34”x34” imager is housed in the upper half of the science </w:t>
      </w:r>
      <w:proofErr w:type="spellStart"/>
      <w:proofErr w:type="gramStart"/>
      <w:r w:rsidR="00B253E8">
        <w:rPr>
          <w:rFonts w:eastAsia="Times New Roman" w:cs="Times-Roman"/>
          <w:b w:val="0"/>
          <w:bCs w:val="0"/>
          <w:color w:val="000000"/>
          <w:sz w:val="24"/>
          <w:szCs w:val="24"/>
        </w:rPr>
        <w:t>dewar</w:t>
      </w:r>
      <w:proofErr w:type="spellEnd"/>
      <w:proofErr w:type="gramEnd"/>
      <w:r w:rsidR="00B253E8">
        <w:rPr>
          <w:rFonts w:eastAsia="Times New Roman" w:cs="Times-Roman"/>
          <w:b w:val="0"/>
          <w:bCs w:val="0"/>
          <w:color w:val="000000"/>
          <w:sz w:val="24"/>
          <w:szCs w:val="24"/>
        </w:rPr>
        <w:t xml:space="preserve"> (tan colored components), the IFU is in the lower half (light green components).</w:t>
      </w:r>
    </w:p>
    <w:p w:rsidR="005C4F17" w:rsidRPr="005C4F17" w:rsidRDefault="005C4F17" w:rsidP="005C4F17"/>
    <w:p w:rsidR="00BC568F" w:rsidRDefault="00BC568F" w:rsidP="00BC568F">
      <w:pPr>
        <w:pStyle w:val="Astro2010RFI2Body"/>
        <w:rPr>
          <w:rFonts w:ascii="Cambria" w:hAnsi="Cambria"/>
        </w:rPr>
      </w:pPr>
      <w:r w:rsidRPr="0081427A">
        <w:rPr>
          <w:rFonts w:ascii="Cambria" w:hAnsi="Cambria"/>
        </w:rPr>
        <w:t xml:space="preserve">The following organizations are involved in the IRIS science and technical teams: Caltech, UC (Los Angeles, Irvine, Santa Cruz, </w:t>
      </w:r>
      <w:proofErr w:type="gramStart"/>
      <w:r w:rsidRPr="0081427A">
        <w:rPr>
          <w:rFonts w:ascii="Cambria" w:hAnsi="Cambria"/>
        </w:rPr>
        <w:t>Berkeley</w:t>
      </w:r>
      <w:proofErr w:type="gramEnd"/>
      <w:r w:rsidRPr="0081427A">
        <w:rPr>
          <w:rFonts w:ascii="Cambria" w:hAnsi="Cambria"/>
        </w:rPr>
        <w:t xml:space="preserve">), Herzberg Institute of Astrophysics, </w:t>
      </w:r>
      <w:r w:rsidR="007F7BBE" w:rsidRPr="0081427A">
        <w:rPr>
          <w:rFonts w:ascii="Cambria" w:hAnsi="Cambria"/>
        </w:rPr>
        <w:t xml:space="preserve">and the </w:t>
      </w:r>
      <w:r w:rsidRPr="0081427A">
        <w:rPr>
          <w:rFonts w:ascii="Cambria" w:hAnsi="Cambria"/>
        </w:rPr>
        <w:t>National Astronomical Observatory of Japan</w:t>
      </w:r>
      <w:r w:rsidR="007F7BBE">
        <w:rPr>
          <w:rFonts w:ascii="Cambria" w:hAnsi="Cambria"/>
        </w:rPr>
        <w:t>. The PIs is</w:t>
      </w:r>
      <w:r w:rsidRPr="0081427A">
        <w:rPr>
          <w:rFonts w:ascii="Cambria" w:hAnsi="Cambria"/>
        </w:rPr>
        <w:t xml:space="preserve"> James Larkin (UCL</w:t>
      </w:r>
      <w:r w:rsidR="007F7BBE">
        <w:rPr>
          <w:rFonts w:ascii="Cambria" w:hAnsi="Cambria"/>
        </w:rPr>
        <w:t>A) and</w:t>
      </w:r>
      <w:r w:rsidRPr="0081427A">
        <w:rPr>
          <w:rFonts w:ascii="Cambria" w:hAnsi="Cambria"/>
        </w:rPr>
        <w:t xml:space="preserve"> project scientist is </w:t>
      </w:r>
      <w:r w:rsidR="007F7BBE">
        <w:rPr>
          <w:rFonts w:ascii="Cambria" w:hAnsi="Cambria"/>
        </w:rPr>
        <w:t>Shelley Wright</w:t>
      </w:r>
      <w:r w:rsidRPr="0081427A">
        <w:rPr>
          <w:rFonts w:ascii="Cambria" w:hAnsi="Cambria"/>
        </w:rPr>
        <w:t xml:space="preserve"> (UC </w:t>
      </w:r>
      <w:r w:rsidR="007F7BBE">
        <w:rPr>
          <w:rFonts w:ascii="Cambria" w:hAnsi="Cambria"/>
        </w:rPr>
        <w:t>San Diego). F</w:t>
      </w:r>
      <w:r w:rsidRPr="0081427A">
        <w:rPr>
          <w:rFonts w:ascii="Cambria" w:hAnsi="Cambria"/>
        </w:rPr>
        <w:t xml:space="preserve">easibility </w:t>
      </w:r>
      <w:r w:rsidR="007F7BBE">
        <w:rPr>
          <w:rFonts w:ascii="Cambria" w:hAnsi="Cambria"/>
        </w:rPr>
        <w:t xml:space="preserve">and </w:t>
      </w:r>
      <w:r w:rsidR="007F7BBE" w:rsidRPr="0081427A">
        <w:rPr>
          <w:rFonts w:ascii="Cambria" w:hAnsi="Cambria"/>
        </w:rPr>
        <w:t xml:space="preserve">conceptual design </w:t>
      </w:r>
      <w:r w:rsidR="007F7BBE">
        <w:rPr>
          <w:rFonts w:ascii="Cambria" w:hAnsi="Cambria"/>
        </w:rPr>
        <w:t>studies have been</w:t>
      </w:r>
      <w:r w:rsidRPr="0081427A">
        <w:rPr>
          <w:rFonts w:ascii="Cambria" w:hAnsi="Cambria"/>
        </w:rPr>
        <w:t xml:space="preserve"> completed and externally reviewed</w:t>
      </w:r>
      <w:r w:rsidR="007F7BBE">
        <w:rPr>
          <w:rFonts w:ascii="Cambria" w:hAnsi="Cambria"/>
        </w:rPr>
        <w:t>.</w:t>
      </w:r>
      <w:r w:rsidRPr="0081427A">
        <w:rPr>
          <w:rFonts w:ascii="Cambria" w:hAnsi="Cambria"/>
        </w:rPr>
        <w:t xml:space="preserve"> </w:t>
      </w:r>
      <w:r w:rsidR="007F7BBE">
        <w:rPr>
          <w:rFonts w:ascii="Cambria" w:hAnsi="Cambria"/>
        </w:rPr>
        <w:t>The</w:t>
      </w:r>
      <w:r w:rsidRPr="0081427A">
        <w:rPr>
          <w:rFonts w:ascii="Cambria" w:hAnsi="Cambria"/>
        </w:rPr>
        <w:t xml:space="preserve"> </w:t>
      </w:r>
      <w:r w:rsidR="007F7BBE" w:rsidRPr="0081427A">
        <w:rPr>
          <w:rFonts w:ascii="Cambria" w:hAnsi="Cambria"/>
        </w:rPr>
        <w:t xml:space="preserve">preliminary design </w:t>
      </w:r>
      <w:r w:rsidRPr="0081427A">
        <w:rPr>
          <w:rFonts w:ascii="Cambria" w:hAnsi="Cambria"/>
        </w:rPr>
        <w:t xml:space="preserve">study is currently underway and </w:t>
      </w:r>
      <w:r w:rsidR="007F7BBE">
        <w:rPr>
          <w:rFonts w:ascii="Cambria" w:hAnsi="Cambria"/>
        </w:rPr>
        <w:t>at an advanced stage, due to be completed in late 2017</w:t>
      </w:r>
      <w:r w:rsidRPr="0081427A">
        <w:rPr>
          <w:rFonts w:ascii="Cambria" w:hAnsi="Cambria"/>
        </w:rPr>
        <w:t xml:space="preserve">. </w:t>
      </w:r>
    </w:p>
    <w:p w:rsidR="007F7BBE" w:rsidRPr="0081427A" w:rsidRDefault="007F7BBE" w:rsidP="00BC568F">
      <w:pPr>
        <w:pStyle w:val="Astro2010RFI2Body"/>
        <w:rPr>
          <w:rFonts w:ascii="Cambria" w:hAnsi="Cambria"/>
        </w:rPr>
      </w:pPr>
    </w:p>
    <w:p w:rsidR="00BC568F" w:rsidRPr="0081427A" w:rsidRDefault="00BC568F" w:rsidP="00BC568F">
      <w:pPr>
        <w:pStyle w:val="Astro2010RFI2Body"/>
        <w:rPr>
          <w:rFonts w:ascii="Cambria" w:hAnsi="Cambria"/>
          <w:b/>
          <w:sz w:val="28"/>
        </w:rPr>
      </w:pPr>
      <w:r w:rsidRPr="0081427A">
        <w:rPr>
          <w:rFonts w:ascii="Cambria" w:hAnsi="Cambria"/>
          <w:b/>
          <w:sz w:val="28"/>
        </w:rPr>
        <w:t>References</w:t>
      </w:r>
    </w:p>
    <w:p w:rsidR="00BC568F" w:rsidRPr="0081427A" w:rsidRDefault="00BC568F" w:rsidP="00BC568F">
      <w:pPr>
        <w:pStyle w:val="Astro2010RFI2Body"/>
        <w:rPr>
          <w:rFonts w:ascii="Cambria" w:hAnsi="Cambria"/>
        </w:rPr>
      </w:pPr>
    </w:p>
    <w:p w:rsidR="00BC568F" w:rsidRPr="0081427A" w:rsidRDefault="00BC568F" w:rsidP="00BC568F">
      <w:pPr>
        <w:pStyle w:val="Astro2010RFI2Body"/>
        <w:numPr>
          <w:ilvl w:val="0"/>
          <w:numId w:val="2"/>
        </w:numPr>
        <w:rPr>
          <w:rFonts w:ascii="Cambria" w:hAnsi="Cambria"/>
        </w:rPr>
      </w:pPr>
      <w:r w:rsidRPr="0081427A">
        <w:rPr>
          <w:rFonts w:ascii="Cambria" w:hAnsi="Cambria"/>
        </w:rPr>
        <w:t xml:space="preserve"> </w:t>
      </w:r>
      <w:r>
        <w:rPr>
          <w:rFonts w:ascii="Cambria" w:hAnsi="Cambria"/>
        </w:rPr>
        <w:t>IRIS website: http://irlab.astro.ucla.edu/iris/index.html</w:t>
      </w:r>
    </w:p>
    <w:p w:rsidR="00BC568F" w:rsidRPr="0081427A" w:rsidRDefault="00BC568F" w:rsidP="00BC568F"/>
    <w:p w:rsidR="00BC568F" w:rsidRPr="0081427A" w:rsidRDefault="00BC568F" w:rsidP="00BC568F"/>
    <w:p w:rsidR="00BC568F" w:rsidRPr="0081427A" w:rsidRDefault="00BC568F"/>
    <w:sectPr w:rsidR="00BC568F" w:rsidRPr="0081427A" w:rsidSect="00BC568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249" w:rsidRDefault="000B5249" w:rsidP="00CB0347">
      <w:r>
        <w:separator/>
      </w:r>
    </w:p>
  </w:endnote>
  <w:endnote w:type="continuationSeparator" w:id="0">
    <w:p w:rsidR="000B5249" w:rsidRDefault="000B5249" w:rsidP="00CB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249" w:rsidRDefault="000B5249" w:rsidP="00CB0347">
      <w:r>
        <w:separator/>
      </w:r>
    </w:p>
  </w:footnote>
  <w:footnote w:type="continuationSeparator" w:id="0">
    <w:p w:rsidR="000B5249" w:rsidRDefault="000B5249" w:rsidP="00CB0347">
      <w:r>
        <w:continuationSeparator/>
      </w:r>
    </w:p>
  </w:footnote>
  <w:footnote w:id="1">
    <w:p w:rsidR="005C4F17" w:rsidRDefault="005C4F17">
      <w:pPr>
        <w:pStyle w:val="FootnoteText"/>
      </w:pPr>
      <w:r>
        <w:rPr>
          <w:rStyle w:val="FootnoteReference"/>
        </w:rPr>
        <w:footnoteRef/>
      </w:r>
      <w:r>
        <w:t xml:space="preserve"> Present design has a 34”x34” field of view that will more effectively support high precision astrometric measurements (relative errors ~55 micro-arc sec)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77F4A"/>
    <w:multiLevelType w:val="hybridMultilevel"/>
    <w:tmpl w:val="058AC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911C1"/>
    <w:multiLevelType w:val="hybridMultilevel"/>
    <w:tmpl w:val="AFA8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9F"/>
    <w:rsid w:val="000B5249"/>
    <w:rsid w:val="001A2D1A"/>
    <w:rsid w:val="002925D8"/>
    <w:rsid w:val="005C4F17"/>
    <w:rsid w:val="00715FAE"/>
    <w:rsid w:val="007F7BBE"/>
    <w:rsid w:val="00B253E8"/>
    <w:rsid w:val="00BC568F"/>
    <w:rsid w:val="00CB034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0DECD8DB-7F46-452A-AA71-A0B4F051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536"/>
    <w:rPr>
      <w:sz w:val="24"/>
      <w:szCs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Astro2010RFI2Body">
    <w:name w:val="Astro2010RFI2Body"/>
    <w:basedOn w:val="Normal"/>
    <w:rsid w:val="0035114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both"/>
    </w:pPr>
    <w:rPr>
      <w:rFonts w:ascii="Times-Roman" w:eastAsia="Times New Roman" w:hAnsi="Times-Roman" w:cs="Times-Roman"/>
      <w:color w:val="000000"/>
    </w:rPr>
  </w:style>
  <w:style w:type="table" w:styleId="TableGrid">
    <w:name w:val="Table Grid"/>
    <w:basedOn w:val="TableNormal"/>
    <w:uiPriority w:val="59"/>
    <w:rsid w:val="005423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B0347"/>
  </w:style>
  <w:style w:type="character" w:customStyle="1" w:styleId="FootnoteTextChar">
    <w:name w:val="Footnote Text Char"/>
    <w:link w:val="FootnoteText"/>
    <w:uiPriority w:val="99"/>
    <w:rsid w:val="00CB0347"/>
    <w:rPr>
      <w:sz w:val="24"/>
      <w:szCs w:val="24"/>
    </w:rPr>
  </w:style>
  <w:style w:type="character" w:styleId="FootnoteReference">
    <w:name w:val="footnote reference"/>
    <w:uiPriority w:val="99"/>
    <w:unhideWhenUsed/>
    <w:rsid w:val="00CB0347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5C4F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53E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253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3E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253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Research Council Canada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Simard</dc:creator>
  <cp:keywords/>
  <cp:lastModifiedBy>ivona</cp:lastModifiedBy>
  <cp:revision>2</cp:revision>
  <dcterms:created xsi:type="dcterms:W3CDTF">2017-12-15T23:22:00Z</dcterms:created>
  <dcterms:modified xsi:type="dcterms:W3CDTF">2017-12-15T23:22:00Z</dcterms:modified>
</cp:coreProperties>
</file>