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334" w:rsidRPr="00BE74E6" w:rsidRDefault="005D0334">
      <w:pPr>
        <w:rPr>
          <w:b/>
          <w:sz w:val="32"/>
        </w:rPr>
      </w:pPr>
      <w:bookmarkStart w:id="0" w:name="_GoBack"/>
      <w:bookmarkEnd w:id="0"/>
      <w:r w:rsidRPr="00BE74E6">
        <w:rPr>
          <w:b/>
          <w:sz w:val="32"/>
        </w:rPr>
        <w:t>TMT Instrumentation Overview</w:t>
      </w:r>
    </w:p>
    <w:p w:rsidR="005D0334" w:rsidRDefault="005D0334"/>
    <w:p w:rsidR="005D0334" w:rsidRDefault="005D0334" w:rsidP="00380AFC">
      <w:pPr>
        <w:jc w:val="both"/>
      </w:pPr>
      <w:r w:rsidRPr="00183DCB">
        <w:t xml:space="preserve">The instrument suite that responds to the </w:t>
      </w:r>
      <w:r>
        <w:t xml:space="preserve">TMT </w:t>
      </w:r>
      <w:r w:rsidRPr="00183DCB">
        <w:t>scientific objectives i</w:t>
      </w:r>
      <w:r w:rsidRPr="00183DCB" w:rsidDel="006211B5">
        <w:t>s</w:t>
      </w:r>
      <w:r w:rsidRPr="00183DCB">
        <w:t xml:space="preserve"> comprised of </w:t>
      </w:r>
      <w:r>
        <w:t>the nine capabilities (</w:t>
      </w:r>
      <w:r>
        <w:rPr>
          <w:b/>
        </w:rPr>
        <w:t xml:space="preserve">Table 1) </w:t>
      </w:r>
      <w:r w:rsidRPr="00183DCB">
        <w:t xml:space="preserve">plus the Near-IR Adaptive Optics System (NFIRAOS): a dual-conjugate (MCAO) system that provides diffraction-limited images over the wavelength range 0.8-2.5µm over a 30 </w:t>
      </w:r>
      <w:proofErr w:type="spellStart"/>
      <w:r w:rsidRPr="00183DCB">
        <w:t>arcsec</w:t>
      </w:r>
      <w:proofErr w:type="spellEnd"/>
      <w:r w:rsidRPr="00183DCB">
        <w:t xml:space="preserve"> field, and partially</w:t>
      </w:r>
      <w:r>
        <w:t xml:space="preserve"> </w:t>
      </w:r>
      <w:r w:rsidRPr="00183DCB">
        <w:t xml:space="preserve">corrected images over a &gt;2 </w:t>
      </w:r>
      <w:proofErr w:type="spellStart"/>
      <w:r w:rsidRPr="00183DCB">
        <w:t>arcmin</w:t>
      </w:r>
      <w:proofErr w:type="spellEnd"/>
      <w:r w:rsidRPr="00183DCB">
        <w:t xml:space="preserve"> field. The performance requirements will be met in median conditions with better than 50</w:t>
      </w:r>
      <w:r>
        <w:t xml:space="preserve"> percent</w:t>
      </w:r>
      <w:r w:rsidRPr="00183DCB">
        <w:t xml:space="preserve"> sky coverage at the galactic poles. </w:t>
      </w:r>
      <w:proofErr w:type="gramStart"/>
      <w:r w:rsidRPr="00183DCB">
        <w:t>NFIRAOS is supported by a Laser Guide Star Facility capable of launching an asterism of six laser guide stars</w:t>
      </w:r>
      <w:proofErr w:type="gramEnd"/>
      <w:r w:rsidRPr="00183DCB">
        <w:t xml:space="preserve">. NFIRAOS will feed diffraction limited images to IRIS and IRMS initially, and eventually to NIRES and WIRC. </w:t>
      </w:r>
      <w:r w:rsidRPr="006C4F30">
        <w:t xml:space="preserve">The instruments are located on two </w:t>
      </w:r>
      <w:proofErr w:type="spellStart"/>
      <w:r w:rsidRPr="006C4F30">
        <w:t>Nasmyth</w:t>
      </w:r>
      <w:proofErr w:type="spellEnd"/>
      <w:r w:rsidRPr="006C4F30">
        <w:t xml:space="preserve"> platforms</w:t>
      </w:r>
      <w:r>
        <w:t xml:space="preserve"> (Figure 1)</w:t>
      </w:r>
      <w:r w:rsidRPr="006C4F30">
        <w:t>, and an articulat</w:t>
      </w:r>
      <w:r>
        <w:t>e</w:t>
      </w:r>
      <w:r w:rsidRPr="006C4F30">
        <w:t xml:space="preserve">d tertiary mirror directs the telescope beam to the instrument stations.  This configuration offers a number of key advantages: 1) multiple instruments </w:t>
      </w:r>
      <w:proofErr w:type="gramStart"/>
      <w:r w:rsidRPr="006C4F30">
        <w:t>can be addressed</w:t>
      </w:r>
      <w:proofErr w:type="gramEnd"/>
      <w:r w:rsidRPr="006C4F30">
        <w:t xml:space="preserve"> quickly with reduced overheads, 2) science with targets of opportunity and transient objects can be pursued, 3) throughput losses and thermal background are minimized, and 4) large and sensitive instruments operate in a gravity invariant, highly stable, and low vibration environment.</w:t>
      </w:r>
    </w:p>
    <w:p w:rsidR="00380AFC" w:rsidRDefault="00380AFC" w:rsidP="00380AFC">
      <w:pPr>
        <w:jc w:val="both"/>
      </w:pPr>
    </w:p>
    <w:p w:rsidR="00380AFC" w:rsidRDefault="00380AFC" w:rsidP="00380AFC">
      <w:pPr>
        <w:jc w:val="both"/>
      </w:pPr>
    </w:p>
    <w:p w:rsidR="00380AFC" w:rsidRDefault="00380AFC" w:rsidP="00380AFC">
      <w:pPr>
        <w:jc w:val="both"/>
      </w:pPr>
    </w:p>
    <w:p w:rsidR="00380AFC" w:rsidRDefault="00380AFC" w:rsidP="00380AF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640"/>
      </w:tblGrid>
      <w:tr w:rsidR="00380AFC">
        <w:tc>
          <w:tcPr>
            <w:tcW w:w="8856" w:type="dxa"/>
            <w:tcBorders>
              <w:top w:val="nil"/>
              <w:left w:val="nil"/>
              <w:bottom w:val="nil"/>
              <w:right w:val="nil"/>
            </w:tcBorders>
          </w:tcPr>
          <w:p w:rsidR="00380AFC" w:rsidRDefault="000A0687" w:rsidP="00380AFC">
            <w:pPr>
              <w:jc w:val="both"/>
            </w:pPr>
            <w:r>
              <w:rPr>
                <w:noProof/>
              </w:rPr>
              <w:drawing>
                <wp:inline distT="0" distB="0" distL="0" distR="0">
                  <wp:extent cx="5476875" cy="3228975"/>
                  <wp:effectExtent l="0" t="0" r="0" b="0"/>
                  <wp:docPr id="2" name="Picture 2" descr="Nasmyth_FirstDecade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myth_FirstDecadeI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6875" cy="3228975"/>
                          </a:xfrm>
                          <a:prstGeom prst="rect">
                            <a:avLst/>
                          </a:prstGeom>
                          <a:noFill/>
                          <a:ln>
                            <a:noFill/>
                          </a:ln>
                        </pic:spPr>
                      </pic:pic>
                    </a:graphicData>
                  </a:graphic>
                </wp:inline>
              </w:drawing>
            </w:r>
          </w:p>
        </w:tc>
      </w:tr>
      <w:tr w:rsidR="00380AFC">
        <w:tc>
          <w:tcPr>
            <w:tcW w:w="8856" w:type="dxa"/>
            <w:tcBorders>
              <w:top w:val="nil"/>
              <w:left w:val="nil"/>
              <w:bottom w:val="nil"/>
              <w:right w:val="nil"/>
            </w:tcBorders>
          </w:tcPr>
          <w:p w:rsidR="00380AFC" w:rsidRPr="00366900" w:rsidRDefault="00380AFC" w:rsidP="00380AFC">
            <w:pPr>
              <w:jc w:val="both"/>
              <w:rPr>
                <w:i/>
              </w:rPr>
            </w:pPr>
            <w:r w:rsidRPr="00366900">
              <w:rPr>
                <w:i/>
              </w:rPr>
              <w:t xml:space="preserve">Figure 1: TMT First Decade instruments on the </w:t>
            </w:r>
            <w:proofErr w:type="spellStart"/>
            <w:r w:rsidRPr="00366900">
              <w:rPr>
                <w:i/>
              </w:rPr>
              <w:t>Nasmyth</w:t>
            </w:r>
            <w:proofErr w:type="spellEnd"/>
            <w:r w:rsidRPr="00366900">
              <w:rPr>
                <w:i/>
              </w:rPr>
              <w:t xml:space="preserve"> platforms</w:t>
            </w:r>
          </w:p>
        </w:tc>
      </w:tr>
    </w:tbl>
    <w:p w:rsidR="00380AFC" w:rsidRDefault="00380AFC" w:rsidP="00380AFC">
      <w:pPr>
        <w:jc w:val="both"/>
      </w:pPr>
    </w:p>
    <w:p w:rsidR="00380AFC" w:rsidRDefault="00380AFC" w:rsidP="00380AFC">
      <w:pPr>
        <w:jc w:val="both"/>
      </w:pPr>
    </w:p>
    <w:p w:rsidR="00380AFC" w:rsidRDefault="00380AFC" w:rsidP="00380AFC">
      <w:pPr>
        <w:jc w:val="both"/>
      </w:pPr>
    </w:p>
    <w:p w:rsidR="00380AFC" w:rsidRDefault="00380AFC" w:rsidP="00380AFC">
      <w:pPr>
        <w:jc w:val="both"/>
      </w:pPr>
    </w:p>
    <w:p w:rsidR="00380AFC" w:rsidRDefault="00380AFC" w:rsidP="00380AFC">
      <w:pPr>
        <w:jc w:val="both"/>
      </w:pPr>
    </w:p>
    <w:p w:rsidR="00380AFC" w:rsidRPr="00183DCB" w:rsidRDefault="00380AFC" w:rsidP="00380AFC">
      <w:pPr>
        <w:jc w:val="both"/>
      </w:pPr>
    </w:p>
    <w:p w:rsidR="00380AFC" w:rsidRDefault="00380AFC" w:rsidP="00380AFC">
      <w:pPr>
        <w:jc w:val="both"/>
      </w:pPr>
    </w:p>
    <w:p w:rsidR="00380AFC" w:rsidRDefault="00380AFC" w:rsidP="00380AFC">
      <w:pPr>
        <w:jc w:val="both"/>
      </w:pPr>
    </w:p>
    <w:p w:rsidR="00380AFC" w:rsidRDefault="00380AFC" w:rsidP="00380AFC">
      <w:pPr>
        <w:jc w:val="both"/>
      </w:pPr>
    </w:p>
    <w:p w:rsidR="00380AFC" w:rsidRDefault="00380AFC" w:rsidP="00380AFC">
      <w:pPr>
        <w:jc w:val="both"/>
      </w:pPr>
    </w:p>
    <w:p w:rsidR="00380AFC" w:rsidRDefault="00380AFC" w:rsidP="00380AFC">
      <w:pPr>
        <w:jc w:val="both"/>
      </w:pPr>
    </w:p>
    <w:p w:rsidR="00380AFC" w:rsidRDefault="00380AFC" w:rsidP="00380AFC">
      <w:pPr>
        <w:jc w:val="both"/>
      </w:pPr>
    </w:p>
    <w:p w:rsidR="00380AFC" w:rsidRDefault="00380AFC" w:rsidP="00380AFC">
      <w:pPr>
        <w:jc w:val="both"/>
      </w:pPr>
      <w:r w:rsidRPr="00B971ED">
        <w:t xml:space="preserve">Feasibility studies of the instrument capabilities listed in </w:t>
      </w:r>
      <w:r>
        <w:rPr>
          <w:b/>
        </w:rPr>
        <w:t>Table 1</w:t>
      </w:r>
      <w:r w:rsidRPr="00B971ED">
        <w:t xml:space="preserve"> in 2005-2006 provided the opportunity to explore the potential of TMT equipped with realistic instruments, and to verify and expand on the overall observatory requirements. After reviewing the instrument concepts, capabilities, and costs, the suite of science instruments </w:t>
      </w:r>
      <w:proofErr w:type="gramStart"/>
      <w:r w:rsidRPr="00B971ED">
        <w:t>was divided</w:t>
      </w:r>
      <w:proofErr w:type="gramEnd"/>
      <w:r w:rsidRPr="00B971ED">
        <w:t xml:space="preserve"> by the TMT Science Advisory Committee (SAC) in December 2006 into “early light'' and “first decade'' instruments. This selection </w:t>
      </w:r>
      <w:proofErr w:type="gramStart"/>
      <w:r w:rsidRPr="00B971ED">
        <w:t>was based</w:t>
      </w:r>
      <w:proofErr w:type="gramEnd"/>
      <w:r w:rsidRPr="00B971ED">
        <w:t xml:space="preserve"> on scientific priority and synergies with JWST and ALMA as well as a variety of pragmatic reasons</w:t>
      </w:r>
      <w:r w:rsidR="005D0334">
        <w:t>,</w:t>
      </w:r>
      <w:r w:rsidRPr="00B971ED">
        <w:t xml:space="preserve"> including funding constraints, commissioning practicalities, and technological readiness. </w:t>
      </w:r>
    </w:p>
    <w:p w:rsidR="00380AFC" w:rsidRPr="00B971ED" w:rsidRDefault="00380AFC" w:rsidP="00380AFC">
      <w:pPr>
        <w:jc w:val="both"/>
      </w:pPr>
    </w:p>
    <w:p w:rsidR="00380AFC" w:rsidRDefault="00380AFC" w:rsidP="00380AFC">
      <w:pPr>
        <w:jc w:val="both"/>
      </w:pPr>
      <w:r w:rsidRPr="00B971ED">
        <w:t xml:space="preserve">The early light suite consists of three “workhorse instruments”: IRIS, a near-IR integral field spectrograph and imager working at the diffraction limit; WFOS, a seeing-limited wide-field multi-object spectrograph; and IRMS, a </w:t>
      </w:r>
      <w:proofErr w:type="spellStart"/>
      <w:r w:rsidRPr="00B971ED">
        <w:t>multislit</w:t>
      </w:r>
      <w:proofErr w:type="spellEnd"/>
      <w:r w:rsidRPr="00B971ED">
        <w:t xml:space="preserve"> near-IR spectrograph and imager. IRIS and IRMS </w:t>
      </w:r>
      <w:proofErr w:type="gramStart"/>
      <w:r w:rsidRPr="00B971ED">
        <w:t>will be fed</w:t>
      </w:r>
      <w:proofErr w:type="gramEnd"/>
      <w:r w:rsidRPr="00B971ED">
        <w:t xml:space="preserve"> by the facility AO system, NFIRAOS. The latter and the three early light instruments </w:t>
      </w:r>
      <w:proofErr w:type="gramStart"/>
      <w:r w:rsidRPr="00B971ED">
        <w:t>will be funded</w:t>
      </w:r>
      <w:proofErr w:type="gramEnd"/>
      <w:r w:rsidRPr="00B971ED">
        <w:t xml:space="preserve"> by construction funds and are included in the overall TMT Observatory Cost Estimate. Conceptual designs of these instr</w:t>
      </w:r>
      <w:r>
        <w:t xml:space="preserve">uments </w:t>
      </w:r>
      <w:proofErr w:type="gramStart"/>
      <w:r>
        <w:t>will be completed</w:t>
      </w:r>
      <w:proofErr w:type="gramEnd"/>
      <w:r>
        <w:t xml:space="preserve"> in 2010-11</w:t>
      </w:r>
      <w:r w:rsidRPr="00B971ED">
        <w:t>.</w:t>
      </w:r>
      <w:r>
        <w:t xml:space="preserve"> </w:t>
      </w:r>
    </w:p>
    <w:p w:rsidR="00380AFC" w:rsidRDefault="00380AFC" w:rsidP="00380AFC"/>
    <w:p w:rsidR="00380AFC" w:rsidRDefault="00380AFC" w:rsidP="00380AFC">
      <w:pPr>
        <w:ind w:right="161"/>
      </w:pPr>
    </w:p>
    <w:tbl>
      <w:tblPr>
        <w:tblW w:w="92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BF" w:firstRow="1" w:lastRow="0" w:firstColumn="1" w:lastColumn="0" w:noHBand="0" w:noVBand="0"/>
      </w:tblPr>
      <w:tblGrid>
        <w:gridCol w:w="2530"/>
        <w:gridCol w:w="1776"/>
        <w:gridCol w:w="2034"/>
        <w:gridCol w:w="1487"/>
        <w:gridCol w:w="1423"/>
      </w:tblGrid>
      <w:tr w:rsidR="00380AFC" w:rsidRPr="003E0309">
        <w:tblPrEx>
          <w:tblCellMar>
            <w:top w:w="0" w:type="dxa"/>
            <w:bottom w:w="0" w:type="dxa"/>
          </w:tblCellMar>
        </w:tblPrEx>
        <w:trPr>
          <w:trHeight w:val="397"/>
          <w:jc w:val="center"/>
        </w:trPr>
        <w:tc>
          <w:tcPr>
            <w:tcW w:w="9250" w:type="dxa"/>
            <w:gridSpan w:val="5"/>
            <w:tcBorders>
              <w:top w:val="nil"/>
              <w:left w:val="nil"/>
              <w:bottom w:val="single" w:sz="12" w:space="0" w:color="auto"/>
              <w:right w:val="nil"/>
            </w:tcBorders>
            <w:shd w:val="clear" w:color="auto" w:fill="auto"/>
            <w:vAlign w:val="center"/>
          </w:tcPr>
          <w:p w:rsidR="00380AFC" w:rsidRPr="00F05750" w:rsidRDefault="00380AFC" w:rsidP="00380AFC">
            <w:pPr>
              <w:jc w:val="center"/>
              <w:rPr>
                <w:b/>
              </w:rPr>
            </w:pPr>
            <w:r>
              <w:rPr>
                <w:b/>
                <w:i/>
              </w:rPr>
              <w:t xml:space="preserve">Table </w:t>
            </w:r>
            <w:r w:rsidRPr="00F05750">
              <w:rPr>
                <w:b/>
                <w:i/>
              </w:rPr>
              <w:t xml:space="preserve">1: </w:t>
            </w:r>
            <w:r w:rsidRPr="00F05750">
              <w:rPr>
                <w:i/>
              </w:rPr>
              <w:t>Instrument capabilities planned for the first decade of TMT operations. The first three are early light instruments.</w:t>
            </w:r>
          </w:p>
        </w:tc>
      </w:tr>
      <w:tr w:rsidR="00380AFC" w:rsidRPr="003E0309">
        <w:tblPrEx>
          <w:tblCellMar>
            <w:top w:w="0" w:type="dxa"/>
            <w:bottom w:w="0" w:type="dxa"/>
          </w:tblCellMar>
        </w:tblPrEx>
        <w:trPr>
          <w:trHeight w:val="117"/>
          <w:jc w:val="center"/>
        </w:trPr>
        <w:tc>
          <w:tcPr>
            <w:tcW w:w="2530" w:type="dxa"/>
            <w:tcBorders>
              <w:top w:val="single" w:sz="12" w:space="0" w:color="auto"/>
            </w:tcBorders>
            <w:shd w:val="clear" w:color="auto" w:fill="99CCFF"/>
            <w:vAlign w:val="center"/>
          </w:tcPr>
          <w:p w:rsidR="00380AFC" w:rsidRPr="00B971ED" w:rsidRDefault="00380AFC" w:rsidP="00380AFC">
            <w:pPr>
              <w:jc w:val="center"/>
              <w:rPr>
                <w:b/>
                <w:sz w:val="22"/>
              </w:rPr>
            </w:pPr>
            <w:r w:rsidRPr="00B971ED">
              <w:rPr>
                <w:b/>
                <w:sz w:val="22"/>
              </w:rPr>
              <w:t>Instrument</w:t>
            </w:r>
          </w:p>
        </w:tc>
        <w:tc>
          <w:tcPr>
            <w:tcW w:w="1776" w:type="dxa"/>
            <w:tcBorders>
              <w:top w:val="single" w:sz="12" w:space="0" w:color="auto"/>
            </w:tcBorders>
            <w:shd w:val="clear" w:color="auto" w:fill="99CCFF"/>
            <w:vAlign w:val="center"/>
          </w:tcPr>
          <w:p w:rsidR="00380AFC" w:rsidRPr="00B971ED" w:rsidRDefault="00380AFC" w:rsidP="00380AFC">
            <w:pPr>
              <w:jc w:val="center"/>
              <w:rPr>
                <w:b/>
                <w:sz w:val="22"/>
              </w:rPr>
            </w:pPr>
            <w:r w:rsidRPr="00B971ED">
              <w:rPr>
                <w:b/>
                <w:sz w:val="22"/>
              </w:rPr>
              <w:t>Field of view / slit length</w:t>
            </w:r>
          </w:p>
        </w:tc>
        <w:tc>
          <w:tcPr>
            <w:tcW w:w="2034" w:type="dxa"/>
            <w:tcBorders>
              <w:top w:val="single" w:sz="12" w:space="0" w:color="auto"/>
            </w:tcBorders>
            <w:shd w:val="clear" w:color="auto" w:fill="99CCFF"/>
            <w:vAlign w:val="center"/>
          </w:tcPr>
          <w:p w:rsidR="00380AFC" w:rsidRPr="00B971ED" w:rsidRDefault="00380AFC" w:rsidP="00380AFC">
            <w:pPr>
              <w:jc w:val="center"/>
              <w:rPr>
                <w:b/>
                <w:sz w:val="22"/>
              </w:rPr>
            </w:pPr>
            <w:r w:rsidRPr="00B971ED">
              <w:rPr>
                <w:b/>
                <w:sz w:val="22"/>
              </w:rPr>
              <w:t>Spectral resolution</w:t>
            </w:r>
          </w:p>
        </w:tc>
        <w:tc>
          <w:tcPr>
            <w:tcW w:w="1487" w:type="dxa"/>
            <w:tcBorders>
              <w:top w:val="single" w:sz="12" w:space="0" w:color="auto"/>
            </w:tcBorders>
            <w:shd w:val="clear" w:color="auto" w:fill="99CCFF"/>
            <w:vAlign w:val="center"/>
          </w:tcPr>
          <w:p w:rsidR="00380AFC" w:rsidRPr="00B971ED" w:rsidRDefault="00380AFC" w:rsidP="00380AFC">
            <w:pPr>
              <w:jc w:val="center"/>
              <w:rPr>
                <w:b/>
                <w:sz w:val="22"/>
              </w:rPr>
            </w:pPr>
            <w:r w:rsidRPr="00B971ED">
              <w:rPr>
                <w:b/>
                <w:sz w:val="22"/>
              </w:rPr>
              <w:sym w:font="Symbol" w:char="F06C"/>
            </w:r>
            <w:r w:rsidRPr="00B971ED">
              <w:rPr>
                <w:b/>
                <w:sz w:val="22"/>
              </w:rPr>
              <w:t xml:space="preserve"> (µm)</w:t>
            </w:r>
          </w:p>
        </w:tc>
        <w:tc>
          <w:tcPr>
            <w:tcW w:w="1423" w:type="dxa"/>
            <w:tcBorders>
              <w:top w:val="single" w:sz="12" w:space="0" w:color="auto"/>
            </w:tcBorders>
            <w:shd w:val="clear" w:color="auto" w:fill="99CCFF"/>
            <w:vAlign w:val="center"/>
          </w:tcPr>
          <w:p w:rsidR="00380AFC" w:rsidRPr="00B971ED" w:rsidRDefault="00380AFC" w:rsidP="00380AFC">
            <w:pPr>
              <w:jc w:val="center"/>
              <w:rPr>
                <w:b/>
                <w:sz w:val="22"/>
              </w:rPr>
            </w:pPr>
            <w:r w:rsidRPr="00B971ED">
              <w:rPr>
                <w:b/>
                <w:sz w:val="22"/>
              </w:rPr>
              <w:t>Comments</w:t>
            </w:r>
          </w:p>
        </w:tc>
      </w:tr>
      <w:tr w:rsidR="00380AFC" w:rsidRPr="003E0309">
        <w:tblPrEx>
          <w:tblCellMar>
            <w:top w:w="0" w:type="dxa"/>
            <w:bottom w:w="0" w:type="dxa"/>
          </w:tblCellMar>
        </w:tblPrEx>
        <w:trPr>
          <w:jc w:val="center"/>
        </w:trPr>
        <w:tc>
          <w:tcPr>
            <w:tcW w:w="2530" w:type="dxa"/>
            <w:shd w:val="clear" w:color="auto" w:fill="auto"/>
            <w:vAlign w:val="center"/>
          </w:tcPr>
          <w:p w:rsidR="00380AFC" w:rsidRPr="00072E1B" w:rsidRDefault="00380AFC" w:rsidP="00380AFC">
            <w:pPr>
              <w:jc w:val="center"/>
              <w:rPr>
                <w:color w:val="0000FF"/>
              </w:rPr>
            </w:pPr>
            <w:proofErr w:type="spellStart"/>
            <w:r w:rsidRPr="00072E1B">
              <w:rPr>
                <w:color w:val="0000FF"/>
              </w:rPr>
              <w:t>InfraRed</w:t>
            </w:r>
            <w:proofErr w:type="spellEnd"/>
            <w:r w:rsidRPr="00072E1B">
              <w:rPr>
                <w:color w:val="0000FF"/>
              </w:rPr>
              <w:t xml:space="preserve"> Imager and Spectrometer</w:t>
            </w:r>
          </w:p>
          <w:p w:rsidR="00380AFC" w:rsidRPr="00072E1B" w:rsidRDefault="00380AFC" w:rsidP="00380AFC">
            <w:pPr>
              <w:jc w:val="center"/>
              <w:rPr>
                <w:color w:val="0000FF"/>
              </w:rPr>
            </w:pPr>
            <w:r w:rsidRPr="00072E1B">
              <w:rPr>
                <w:color w:val="0000FF"/>
              </w:rPr>
              <w:t>(IRIS)</w:t>
            </w:r>
          </w:p>
        </w:tc>
        <w:tc>
          <w:tcPr>
            <w:tcW w:w="1776" w:type="dxa"/>
            <w:shd w:val="clear" w:color="auto" w:fill="auto"/>
            <w:vAlign w:val="center"/>
          </w:tcPr>
          <w:p w:rsidR="00380AFC" w:rsidRPr="00072E1B" w:rsidRDefault="00380AFC" w:rsidP="00380AFC">
            <w:pPr>
              <w:jc w:val="center"/>
              <w:rPr>
                <w:color w:val="0000FF"/>
              </w:rPr>
            </w:pPr>
            <w:r w:rsidRPr="00072E1B">
              <w:rPr>
                <w:color w:val="0000FF"/>
              </w:rPr>
              <w:t>&lt; 3</w:t>
            </w:r>
            <w:r w:rsidRPr="00072E1B">
              <w:rPr>
                <w:color w:val="0000FF"/>
              </w:rPr>
              <w:sym w:font="Symbol" w:char="F0A2"/>
            </w:r>
            <w:r w:rsidRPr="00072E1B">
              <w:rPr>
                <w:color w:val="0000FF"/>
              </w:rPr>
              <w:sym w:font="Symbol" w:char="F0A2"/>
            </w:r>
            <w:r w:rsidRPr="00072E1B">
              <w:rPr>
                <w:color w:val="0000FF"/>
              </w:rPr>
              <w:t xml:space="preserve"> IFU &gt;15”imaging</w:t>
            </w:r>
          </w:p>
        </w:tc>
        <w:tc>
          <w:tcPr>
            <w:tcW w:w="2034" w:type="dxa"/>
            <w:shd w:val="clear" w:color="auto" w:fill="auto"/>
            <w:vAlign w:val="center"/>
          </w:tcPr>
          <w:p w:rsidR="00380AFC" w:rsidRPr="00072E1B" w:rsidRDefault="00380AFC" w:rsidP="00380AFC">
            <w:pPr>
              <w:jc w:val="center"/>
              <w:rPr>
                <w:color w:val="0000FF"/>
              </w:rPr>
            </w:pPr>
            <w:r w:rsidRPr="00072E1B">
              <w:rPr>
                <w:color w:val="0000FF"/>
              </w:rPr>
              <w:t>&gt; 3500</w:t>
            </w:r>
          </w:p>
          <w:p w:rsidR="00380AFC" w:rsidRPr="00072E1B" w:rsidRDefault="00380AFC" w:rsidP="00380AFC">
            <w:pPr>
              <w:jc w:val="center"/>
              <w:rPr>
                <w:color w:val="0000FF"/>
              </w:rPr>
            </w:pPr>
            <w:r w:rsidRPr="00072E1B">
              <w:rPr>
                <w:color w:val="0000FF"/>
              </w:rPr>
              <w:t>5-100 (imaging)</w:t>
            </w:r>
          </w:p>
        </w:tc>
        <w:tc>
          <w:tcPr>
            <w:tcW w:w="1487" w:type="dxa"/>
            <w:shd w:val="clear" w:color="auto" w:fill="auto"/>
            <w:vAlign w:val="center"/>
          </w:tcPr>
          <w:p w:rsidR="00380AFC" w:rsidRPr="00072E1B" w:rsidRDefault="00380AFC" w:rsidP="00380AFC">
            <w:pPr>
              <w:jc w:val="center"/>
              <w:rPr>
                <w:color w:val="0000FF"/>
              </w:rPr>
            </w:pPr>
            <w:r w:rsidRPr="00072E1B">
              <w:rPr>
                <w:color w:val="0000FF"/>
              </w:rPr>
              <w:t>0.8 – 2.5</w:t>
            </w:r>
          </w:p>
          <w:p w:rsidR="00380AFC" w:rsidRPr="00072E1B" w:rsidRDefault="00380AFC" w:rsidP="00380AFC">
            <w:pPr>
              <w:jc w:val="center"/>
              <w:rPr>
                <w:color w:val="0000FF"/>
              </w:rPr>
            </w:pPr>
            <w:r w:rsidRPr="00072E1B">
              <w:rPr>
                <w:color w:val="0000FF"/>
              </w:rPr>
              <w:t>0.6 –5(goal)</w:t>
            </w:r>
          </w:p>
        </w:tc>
        <w:tc>
          <w:tcPr>
            <w:tcW w:w="1423" w:type="dxa"/>
            <w:shd w:val="clear" w:color="auto" w:fill="auto"/>
            <w:vAlign w:val="center"/>
          </w:tcPr>
          <w:p w:rsidR="00380AFC" w:rsidRPr="00072E1B" w:rsidRDefault="00380AFC" w:rsidP="00380AFC">
            <w:pPr>
              <w:jc w:val="center"/>
              <w:rPr>
                <w:color w:val="0000FF"/>
              </w:rPr>
            </w:pPr>
            <w:r w:rsidRPr="00072E1B">
              <w:rPr>
                <w:color w:val="0000FF"/>
              </w:rPr>
              <w:t>NFIRAOS</w:t>
            </w:r>
          </w:p>
        </w:tc>
      </w:tr>
      <w:tr w:rsidR="00380AFC" w:rsidRPr="003E0309">
        <w:tblPrEx>
          <w:tblCellMar>
            <w:top w:w="0" w:type="dxa"/>
            <w:bottom w:w="0" w:type="dxa"/>
          </w:tblCellMar>
        </w:tblPrEx>
        <w:trPr>
          <w:jc w:val="center"/>
        </w:trPr>
        <w:tc>
          <w:tcPr>
            <w:tcW w:w="2530" w:type="dxa"/>
            <w:shd w:val="clear" w:color="auto" w:fill="auto"/>
            <w:vAlign w:val="center"/>
          </w:tcPr>
          <w:p w:rsidR="00380AFC" w:rsidRPr="00072E1B" w:rsidRDefault="00380AFC" w:rsidP="00380AFC">
            <w:pPr>
              <w:jc w:val="center"/>
              <w:rPr>
                <w:color w:val="0000FF"/>
              </w:rPr>
            </w:pPr>
            <w:r w:rsidRPr="00072E1B">
              <w:rPr>
                <w:color w:val="0000FF"/>
              </w:rPr>
              <w:t>Wide-field Optical spectrometer and imager</w:t>
            </w:r>
          </w:p>
          <w:p w:rsidR="00380AFC" w:rsidRPr="00072E1B" w:rsidRDefault="00380AFC" w:rsidP="00380AFC">
            <w:pPr>
              <w:jc w:val="center"/>
              <w:rPr>
                <w:color w:val="0000FF"/>
              </w:rPr>
            </w:pPr>
            <w:r w:rsidRPr="00072E1B">
              <w:rPr>
                <w:color w:val="0000FF"/>
              </w:rPr>
              <w:t>(WFOS)</w:t>
            </w:r>
          </w:p>
        </w:tc>
        <w:tc>
          <w:tcPr>
            <w:tcW w:w="1776" w:type="dxa"/>
            <w:shd w:val="clear" w:color="auto" w:fill="auto"/>
            <w:vAlign w:val="center"/>
          </w:tcPr>
          <w:p w:rsidR="00380AFC" w:rsidRPr="00072E1B" w:rsidRDefault="00380AFC" w:rsidP="00380AFC">
            <w:pPr>
              <w:jc w:val="center"/>
              <w:rPr>
                <w:color w:val="0000FF"/>
              </w:rPr>
            </w:pPr>
            <w:r w:rsidRPr="00072E1B">
              <w:rPr>
                <w:color w:val="0000FF"/>
              </w:rPr>
              <w:t>&gt;40 arcmin</w:t>
            </w:r>
            <w:r w:rsidRPr="00072E1B">
              <w:rPr>
                <w:color w:val="0000FF"/>
                <w:vertAlign w:val="superscript"/>
              </w:rPr>
              <w:t>2</w:t>
            </w:r>
          </w:p>
          <w:p w:rsidR="00380AFC" w:rsidRPr="00072E1B" w:rsidRDefault="00380AFC" w:rsidP="00380AFC">
            <w:pPr>
              <w:jc w:val="center"/>
              <w:rPr>
                <w:color w:val="0000FF"/>
              </w:rPr>
            </w:pPr>
            <w:r w:rsidRPr="00072E1B">
              <w:rPr>
                <w:color w:val="0000FF"/>
              </w:rPr>
              <w:t>&gt;100 arcmin</w:t>
            </w:r>
            <w:r w:rsidRPr="00072E1B">
              <w:rPr>
                <w:color w:val="0000FF"/>
                <w:vertAlign w:val="superscript"/>
              </w:rPr>
              <w:t>2</w:t>
            </w:r>
            <w:r w:rsidRPr="00072E1B">
              <w:rPr>
                <w:color w:val="0000FF"/>
              </w:rPr>
              <w:t xml:space="preserve"> (goal)</w:t>
            </w:r>
          </w:p>
          <w:p w:rsidR="00380AFC" w:rsidRPr="00072E1B" w:rsidRDefault="00380AFC" w:rsidP="00380AFC">
            <w:pPr>
              <w:jc w:val="center"/>
              <w:rPr>
                <w:color w:val="0000FF"/>
              </w:rPr>
            </w:pPr>
            <w:r w:rsidRPr="00072E1B">
              <w:rPr>
                <w:color w:val="0000FF"/>
              </w:rPr>
              <w:t>Slit length&gt;500”</w:t>
            </w:r>
          </w:p>
        </w:tc>
        <w:tc>
          <w:tcPr>
            <w:tcW w:w="2034" w:type="dxa"/>
            <w:shd w:val="clear" w:color="auto" w:fill="auto"/>
            <w:vAlign w:val="center"/>
          </w:tcPr>
          <w:p w:rsidR="00380AFC" w:rsidRPr="00072E1B" w:rsidRDefault="00380AFC" w:rsidP="00380AFC">
            <w:pPr>
              <w:jc w:val="center"/>
              <w:rPr>
                <w:color w:val="0000FF"/>
              </w:rPr>
            </w:pPr>
            <w:r w:rsidRPr="00072E1B">
              <w:rPr>
                <w:color w:val="0000FF"/>
              </w:rPr>
              <w:t>1000-5000</w:t>
            </w:r>
          </w:p>
          <w:p w:rsidR="00380AFC" w:rsidRPr="00072E1B" w:rsidRDefault="00380AFC" w:rsidP="00380AFC">
            <w:pPr>
              <w:jc w:val="center"/>
              <w:rPr>
                <w:color w:val="0000FF"/>
              </w:rPr>
            </w:pPr>
            <w:r w:rsidRPr="00072E1B">
              <w:rPr>
                <w:color w:val="0000FF"/>
              </w:rPr>
              <w:t>&gt;7500 @0.75” (goal)</w:t>
            </w:r>
          </w:p>
        </w:tc>
        <w:tc>
          <w:tcPr>
            <w:tcW w:w="1487" w:type="dxa"/>
            <w:shd w:val="clear" w:color="auto" w:fill="auto"/>
            <w:vAlign w:val="center"/>
          </w:tcPr>
          <w:p w:rsidR="00380AFC" w:rsidRPr="00072E1B" w:rsidRDefault="00380AFC" w:rsidP="00380AFC">
            <w:pPr>
              <w:jc w:val="center"/>
              <w:rPr>
                <w:color w:val="0000FF"/>
              </w:rPr>
            </w:pPr>
            <w:r w:rsidRPr="00072E1B">
              <w:rPr>
                <w:color w:val="0000FF"/>
              </w:rPr>
              <w:t>0.31-1.0</w:t>
            </w:r>
          </w:p>
          <w:p w:rsidR="00380AFC" w:rsidRPr="00072E1B" w:rsidRDefault="00380AFC" w:rsidP="00380AFC">
            <w:pPr>
              <w:jc w:val="center"/>
              <w:rPr>
                <w:color w:val="0000FF"/>
              </w:rPr>
            </w:pPr>
            <w:r w:rsidRPr="00072E1B">
              <w:rPr>
                <w:color w:val="0000FF"/>
              </w:rPr>
              <w:t>0.3</w:t>
            </w:r>
            <w:r>
              <w:rPr>
                <w:color w:val="0000FF"/>
              </w:rPr>
              <w:t>-</w:t>
            </w:r>
            <w:r w:rsidRPr="00072E1B">
              <w:rPr>
                <w:color w:val="0000FF"/>
              </w:rPr>
              <w:t>1.5(goal)</w:t>
            </w:r>
          </w:p>
        </w:tc>
        <w:tc>
          <w:tcPr>
            <w:tcW w:w="1423" w:type="dxa"/>
            <w:shd w:val="clear" w:color="auto" w:fill="auto"/>
            <w:vAlign w:val="center"/>
          </w:tcPr>
          <w:p w:rsidR="00380AFC" w:rsidRPr="00072E1B" w:rsidRDefault="00380AFC" w:rsidP="00380AFC">
            <w:pPr>
              <w:jc w:val="center"/>
              <w:rPr>
                <w:color w:val="0000FF"/>
              </w:rPr>
            </w:pPr>
            <w:r w:rsidRPr="00072E1B">
              <w:rPr>
                <w:color w:val="0000FF"/>
              </w:rPr>
              <w:t>Seeing-Limited</w:t>
            </w:r>
          </w:p>
          <w:p w:rsidR="00380AFC" w:rsidRPr="00072E1B" w:rsidRDefault="00380AFC" w:rsidP="00380AFC">
            <w:pPr>
              <w:jc w:val="center"/>
              <w:rPr>
                <w:color w:val="0000FF"/>
              </w:rPr>
            </w:pPr>
            <w:r w:rsidRPr="00072E1B">
              <w:rPr>
                <w:color w:val="0000FF"/>
              </w:rPr>
              <w:t xml:space="preserve"> (SL)</w:t>
            </w:r>
          </w:p>
        </w:tc>
      </w:tr>
      <w:tr w:rsidR="00380AFC" w:rsidRPr="003E0309">
        <w:tblPrEx>
          <w:tblCellMar>
            <w:top w:w="0" w:type="dxa"/>
            <w:bottom w:w="0" w:type="dxa"/>
          </w:tblCellMar>
        </w:tblPrEx>
        <w:trPr>
          <w:jc w:val="center"/>
        </w:trPr>
        <w:tc>
          <w:tcPr>
            <w:tcW w:w="2530" w:type="dxa"/>
            <w:shd w:val="clear" w:color="auto" w:fill="auto"/>
            <w:vAlign w:val="center"/>
          </w:tcPr>
          <w:p w:rsidR="00380AFC" w:rsidRPr="00072E1B" w:rsidRDefault="00380AFC" w:rsidP="00380AFC">
            <w:pPr>
              <w:jc w:val="center"/>
              <w:rPr>
                <w:color w:val="0000FF"/>
              </w:rPr>
            </w:pPr>
            <w:proofErr w:type="spellStart"/>
            <w:r w:rsidRPr="00072E1B">
              <w:rPr>
                <w:color w:val="0000FF"/>
              </w:rPr>
              <w:t>InfraRed</w:t>
            </w:r>
            <w:proofErr w:type="spellEnd"/>
            <w:r w:rsidRPr="00072E1B">
              <w:rPr>
                <w:color w:val="0000FF"/>
              </w:rPr>
              <w:t xml:space="preserve"> </w:t>
            </w:r>
            <w:proofErr w:type="spellStart"/>
            <w:r w:rsidRPr="00072E1B">
              <w:rPr>
                <w:color w:val="0000FF"/>
              </w:rPr>
              <w:t>Multislit</w:t>
            </w:r>
            <w:proofErr w:type="spellEnd"/>
            <w:r w:rsidRPr="00072E1B">
              <w:rPr>
                <w:color w:val="0000FF"/>
              </w:rPr>
              <w:t xml:space="preserve"> Spectrometer (IRMS)</w:t>
            </w:r>
          </w:p>
        </w:tc>
        <w:tc>
          <w:tcPr>
            <w:tcW w:w="1776" w:type="dxa"/>
            <w:shd w:val="clear" w:color="auto" w:fill="auto"/>
            <w:vAlign w:val="center"/>
          </w:tcPr>
          <w:p w:rsidR="00380AFC" w:rsidRPr="00072E1B" w:rsidRDefault="00380AFC" w:rsidP="00380AFC">
            <w:pPr>
              <w:jc w:val="center"/>
              <w:rPr>
                <w:color w:val="0000FF"/>
              </w:rPr>
            </w:pPr>
            <w:r w:rsidRPr="00072E1B">
              <w:rPr>
                <w:color w:val="0000FF"/>
              </w:rPr>
              <w:t xml:space="preserve">2 </w:t>
            </w:r>
            <w:proofErr w:type="spellStart"/>
            <w:r w:rsidRPr="00072E1B">
              <w:rPr>
                <w:color w:val="0000FF"/>
              </w:rPr>
              <w:t>arcmin</w:t>
            </w:r>
            <w:proofErr w:type="spellEnd"/>
            <w:r w:rsidRPr="00072E1B">
              <w:rPr>
                <w:color w:val="0000FF"/>
              </w:rPr>
              <w:t xml:space="preserve"> field 46 deployable slits</w:t>
            </w:r>
          </w:p>
        </w:tc>
        <w:tc>
          <w:tcPr>
            <w:tcW w:w="2034" w:type="dxa"/>
            <w:shd w:val="clear" w:color="auto" w:fill="auto"/>
            <w:vAlign w:val="center"/>
          </w:tcPr>
          <w:p w:rsidR="00380AFC" w:rsidRPr="00072E1B" w:rsidRDefault="00380AFC" w:rsidP="00380AFC">
            <w:pPr>
              <w:jc w:val="center"/>
              <w:rPr>
                <w:color w:val="0000FF"/>
              </w:rPr>
            </w:pPr>
            <w:r w:rsidRPr="00072E1B">
              <w:rPr>
                <w:color w:val="0000FF"/>
              </w:rPr>
              <w:t xml:space="preserve">R=4660 @ 0.16 </w:t>
            </w:r>
            <w:proofErr w:type="spellStart"/>
            <w:r w:rsidRPr="00072E1B">
              <w:rPr>
                <w:color w:val="0000FF"/>
              </w:rPr>
              <w:t>arcsec</w:t>
            </w:r>
            <w:proofErr w:type="spellEnd"/>
            <w:r w:rsidRPr="00072E1B">
              <w:rPr>
                <w:color w:val="0000FF"/>
              </w:rPr>
              <w:t xml:space="preserve"> slit</w:t>
            </w:r>
          </w:p>
        </w:tc>
        <w:tc>
          <w:tcPr>
            <w:tcW w:w="1487" w:type="dxa"/>
            <w:shd w:val="clear" w:color="auto" w:fill="auto"/>
            <w:vAlign w:val="center"/>
          </w:tcPr>
          <w:p w:rsidR="00380AFC" w:rsidRPr="00072E1B" w:rsidRDefault="00380AFC" w:rsidP="00380AFC">
            <w:pPr>
              <w:jc w:val="center"/>
              <w:rPr>
                <w:color w:val="0000FF"/>
              </w:rPr>
            </w:pPr>
            <w:r w:rsidRPr="00072E1B" w:rsidDel="000A331B">
              <w:rPr>
                <w:color w:val="0000FF"/>
              </w:rPr>
              <w:t>0.95</w:t>
            </w:r>
            <w:r w:rsidRPr="00072E1B">
              <w:rPr>
                <w:color w:val="0000FF"/>
              </w:rPr>
              <w:t>-2.45</w:t>
            </w:r>
          </w:p>
        </w:tc>
        <w:tc>
          <w:tcPr>
            <w:tcW w:w="1423" w:type="dxa"/>
            <w:shd w:val="clear" w:color="auto" w:fill="auto"/>
            <w:vAlign w:val="center"/>
          </w:tcPr>
          <w:p w:rsidR="00380AFC" w:rsidRPr="00072E1B" w:rsidRDefault="00380AFC" w:rsidP="00380AFC">
            <w:pPr>
              <w:jc w:val="center"/>
              <w:rPr>
                <w:color w:val="0000FF"/>
              </w:rPr>
            </w:pPr>
            <w:r w:rsidRPr="00072E1B">
              <w:rPr>
                <w:color w:val="0000FF"/>
              </w:rPr>
              <w:t>NFIRAOS</w:t>
            </w:r>
          </w:p>
        </w:tc>
      </w:tr>
      <w:tr w:rsidR="00380AFC" w:rsidRPr="003E0309">
        <w:tblPrEx>
          <w:tblCellMar>
            <w:top w:w="0" w:type="dxa"/>
            <w:bottom w:w="0" w:type="dxa"/>
          </w:tblCellMar>
        </w:tblPrEx>
        <w:trPr>
          <w:trHeight w:val="642"/>
          <w:jc w:val="center"/>
        </w:trPr>
        <w:tc>
          <w:tcPr>
            <w:tcW w:w="2530" w:type="dxa"/>
            <w:shd w:val="clear" w:color="auto" w:fill="auto"/>
            <w:vAlign w:val="center"/>
          </w:tcPr>
          <w:p w:rsidR="00380AFC" w:rsidRPr="00072E1B" w:rsidRDefault="00380AFC" w:rsidP="00380AFC">
            <w:pPr>
              <w:jc w:val="center"/>
            </w:pPr>
            <w:r w:rsidRPr="00072E1B">
              <w:t>Multi-IFU imaging spectrometer (IRMOS)</w:t>
            </w:r>
          </w:p>
        </w:tc>
        <w:tc>
          <w:tcPr>
            <w:tcW w:w="1776" w:type="dxa"/>
            <w:shd w:val="clear" w:color="auto" w:fill="auto"/>
            <w:vAlign w:val="center"/>
          </w:tcPr>
          <w:p w:rsidR="00380AFC" w:rsidRPr="00072E1B" w:rsidRDefault="00380AFC" w:rsidP="00380AFC">
            <w:pPr>
              <w:jc w:val="center"/>
            </w:pPr>
            <w:r w:rsidRPr="00072E1B">
              <w:t>3</w:t>
            </w:r>
            <w:r w:rsidRPr="00072E1B">
              <w:sym w:font="Symbol" w:char="F0A2"/>
            </w:r>
            <w:r w:rsidRPr="00072E1B">
              <w:sym w:font="Symbol" w:char="F0A2"/>
            </w:r>
            <w:r w:rsidRPr="00072E1B">
              <w:t xml:space="preserve"> IFUs over &gt;5’ diameter field</w:t>
            </w:r>
          </w:p>
        </w:tc>
        <w:tc>
          <w:tcPr>
            <w:tcW w:w="2034" w:type="dxa"/>
            <w:shd w:val="clear" w:color="auto" w:fill="auto"/>
            <w:vAlign w:val="center"/>
          </w:tcPr>
          <w:p w:rsidR="00380AFC" w:rsidRPr="00072E1B" w:rsidRDefault="00380AFC" w:rsidP="00380AFC">
            <w:pPr>
              <w:jc w:val="center"/>
            </w:pPr>
            <w:r w:rsidRPr="00072E1B">
              <w:t>2000-10000</w:t>
            </w:r>
          </w:p>
        </w:tc>
        <w:tc>
          <w:tcPr>
            <w:tcW w:w="1487" w:type="dxa"/>
            <w:shd w:val="clear" w:color="auto" w:fill="auto"/>
            <w:vAlign w:val="center"/>
          </w:tcPr>
          <w:p w:rsidR="00380AFC" w:rsidRPr="00072E1B" w:rsidRDefault="00380AFC" w:rsidP="00380AFC">
            <w:pPr>
              <w:jc w:val="center"/>
            </w:pPr>
            <w:r w:rsidRPr="00072E1B">
              <w:t>0.8-2.5</w:t>
            </w:r>
          </w:p>
        </w:tc>
        <w:tc>
          <w:tcPr>
            <w:tcW w:w="1423" w:type="dxa"/>
            <w:shd w:val="clear" w:color="auto" w:fill="auto"/>
            <w:vAlign w:val="center"/>
          </w:tcPr>
          <w:p w:rsidR="00380AFC" w:rsidRPr="00072E1B" w:rsidRDefault="00380AFC" w:rsidP="00380AFC">
            <w:pPr>
              <w:jc w:val="center"/>
            </w:pPr>
            <w:r w:rsidRPr="00072E1B">
              <w:t>MOAO</w:t>
            </w:r>
          </w:p>
        </w:tc>
      </w:tr>
      <w:tr w:rsidR="00380AFC" w:rsidRPr="003E0309">
        <w:tblPrEx>
          <w:tblCellMar>
            <w:top w:w="0" w:type="dxa"/>
            <w:bottom w:w="0" w:type="dxa"/>
          </w:tblCellMar>
        </w:tblPrEx>
        <w:trPr>
          <w:jc w:val="center"/>
        </w:trPr>
        <w:tc>
          <w:tcPr>
            <w:tcW w:w="2530" w:type="dxa"/>
            <w:shd w:val="clear" w:color="auto" w:fill="auto"/>
            <w:vAlign w:val="center"/>
          </w:tcPr>
          <w:p w:rsidR="00380AFC" w:rsidRPr="00072E1B" w:rsidRDefault="00380AFC" w:rsidP="00380AFC">
            <w:pPr>
              <w:jc w:val="center"/>
            </w:pPr>
            <w:r w:rsidRPr="00072E1B">
              <w:lastRenderedPageBreak/>
              <w:t>Mid-IR AO-fed Echelle Spectrometer (MIRES)</w:t>
            </w:r>
          </w:p>
        </w:tc>
        <w:tc>
          <w:tcPr>
            <w:tcW w:w="1776" w:type="dxa"/>
            <w:shd w:val="clear" w:color="auto" w:fill="auto"/>
            <w:vAlign w:val="center"/>
          </w:tcPr>
          <w:p w:rsidR="00380AFC" w:rsidRPr="00072E1B" w:rsidRDefault="00380AFC" w:rsidP="00380AFC">
            <w:pPr>
              <w:jc w:val="center"/>
            </w:pPr>
            <w:r w:rsidRPr="00072E1B">
              <w:t>3</w:t>
            </w:r>
            <w:r w:rsidRPr="00072E1B">
              <w:sym w:font="Symbol" w:char="F0A2"/>
            </w:r>
            <w:r w:rsidRPr="00072E1B">
              <w:sym w:font="Symbol" w:char="F0A2"/>
            </w:r>
            <w:r w:rsidRPr="00072E1B">
              <w:t xml:space="preserve"> slit length</w:t>
            </w:r>
          </w:p>
          <w:p w:rsidR="00380AFC" w:rsidRPr="00072E1B" w:rsidRDefault="00380AFC" w:rsidP="00380AFC">
            <w:pPr>
              <w:jc w:val="center"/>
            </w:pPr>
            <w:r w:rsidRPr="00072E1B">
              <w:t>10</w:t>
            </w:r>
            <w:r w:rsidRPr="00072E1B">
              <w:sym w:font="Symbol" w:char="F0A2"/>
            </w:r>
            <w:r w:rsidRPr="00072E1B">
              <w:sym w:font="Symbol" w:char="F0A2"/>
            </w:r>
            <w:r w:rsidRPr="00072E1B">
              <w:t xml:space="preserve"> imaging</w:t>
            </w:r>
          </w:p>
        </w:tc>
        <w:tc>
          <w:tcPr>
            <w:tcW w:w="2034" w:type="dxa"/>
            <w:shd w:val="clear" w:color="auto" w:fill="auto"/>
            <w:vAlign w:val="center"/>
          </w:tcPr>
          <w:p w:rsidR="00380AFC" w:rsidRPr="00072E1B" w:rsidRDefault="00380AFC" w:rsidP="00380AFC">
            <w:pPr>
              <w:jc w:val="center"/>
            </w:pPr>
            <w:r w:rsidRPr="00072E1B">
              <w:t>5000-100000</w:t>
            </w:r>
          </w:p>
        </w:tc>
        <w:tc>
          <w:tcPr>
            <w:tcW w:w="1487" w:type="dxa"/>
            <w:shd w:val="clear" w:color="auto" w:fill="auto"/>
            <w:vAlign w:val="center"/>
          </w:tcPr>
          <w:p w:rsidR="00380AFC" w:rsidRPr="00072E1B" w:rsidRDefault="00380AFC" w:rsidP="00380AFC">
            <w:pPr>
              <w:jc w:val="center"/>
            </w:pPr>
            <w:r w:rsidRPr="00072E1B">
              <w:t>8-18</w:t>
            </w:r>
          </w:p>
          <w:p w:rsidR="00380AFC" w:rsidRPr="00072E1B" w:rsidRDefault="00380AFC" w:rsidP="00380AFC">
            <w:pPr>
              <w:jc w:val="center"/>
            </w:pPr>
            <w:r w:rsidRPr="00072E1B">
              <w:t>4.5-28(goal)</w:t>
            </w:r>
          </w:p>
        </w:tc>
        <w:tc>
          <w:tcPr>
            <w:tcW w:w="1423" w:type="dxa"/>
            <w:shd w:val="clear" w:color="auto" w:fill="auto"/>
            <w:vAlign w:val="center"/>
          </w:tcPr>
          <w:p w:rsidR="00380AFC" w:rsidRPr="00072E1B" w:rsidRDefault="00380AFC" w:rsidP="00380AFC">
            <w:pPr>
              <w:jc w:val="center"/>
            </w:pPr>
            <w:r w:rsidRPr="00072E1B">
              <w:t>MIRAO</w:t>
            </w:r>
          </w:p>
        </w:tc>
      </w:tr>
      <w:tr w:rsidR="00380AFC" w:rsidRPr="003E0309">
        <w:tblPrEx>
          <w:tblCellMar>
            <w:top w:w="0" w:type="dxa"/>
            <w:bottom w:w="0" w:type="dxa"/>
          </w:tblCellMar>
        </w:tblPrEx>
        <w:trPr>
          <w:jc w:val="center"/>
        </w:trPr>
        <w:tc>
          <w:tcPr>
            <w:tcW w:w="2530" w:type="dxa"/>
            <w:shd w:val="clear" w:color="auto" w:fill="auto"/>
            <w:vAlign w:val="center"/>
          </w:tcPr>
          <w:p w:rsidR="00380AFC" w:rsidRPr="00072E1B" w:rsidRDefault="00380AFC" w:rsidP="00380AFC">
            <w:pPr>
              <w:jc w:val="center"/>
            </w:pPr>
            <w:r w:rsidRPr="00072E1B">
              <w:t>Planet Formation I</w:t>
            </w:r>
            <w:r>
              <w:t>nstrument</w:t>
            </w:r>
          </w:p>
          <w:p w:rsidR="00380AFC" w:rsidRPr="00072E1B" w:rsidRDefault="00380AFC" w:rsidP="00380AFC">
            <w:pPr>
              <w:jc w:val="center"/>
            </w:pPr>
            <w:r w:rsidRPr="00072E1B">
              <w:t>(PFI)</w:t>
            </w:r>
          </w:p>
        </w:tc>
        <w:tc>
          <w:tcPr>
            <w:tcW w:w="1776" w:type="dxa"/>
            <w:shd w:val="clear" w:color="auto" w:fill="auto"/>
            <w:vAlign w:val="center"/>
          </w:tcPr>
          <w:p w:rsidR="00380AFC" w:rsidRPr="00072E1B" w:rsidRDefault="00380AFC" w:rsidP="00380AFC">
            <w:pPr>
              <w:jc w:val="center"/>
            </w:pPr>
            <w:r w:rsidRPr="00072E1B">
              <w:t>1</w:t>
            </w:r>
            <w:r w:rsidRPr="00072E1B">
              <w:sym w:font="Symbol" w:char="F0A2"/>
            </w:r>
            <w:r w:rsidRPr="00072E1B">
              <w:sym w:font="Symbol" w:char="F0A2"/>
            </w:r>
            <w:r w:rsidRPr="00072E1B">
              <w:t xml:space="preserve"> outer working angle, 0.05</w:t>
            </w:r>
            <w:r w:rsidRPr="00072E1B">
              <w:sym w:font="Symbol" w:char="F0A2"/>
            </w:r>
            <w:r w:rsidRPr="00072E1B">
              <w:sym w:font="Symbol" w:char="F0A2"/>
            </w:r>
            <w:r w:rsidRPr="00072E1B">
              <w:t xml:space="preserve"> inner working angle</w:t>
            </w:r>
          </w:p>
        </w:tc>
        <w:tc>
          <w:tcPr>
            <w:tcW w:w="2034" w:type="dxa"/>
            <w:shd w:val="clear" w:color="auto" w:fill="auto"/>
            <w:vAlign w:val="center"/>
          </w:tcPr>
          <w:p w:rsidR="00380AFC" w:rsidRPr="00072E1B" w:rsidRDefault="00380AFC" w:rsidP="00380AFC">
            <w:pPr>
              <w:jc w:val="center"/>
            </w:pPr>
            <w:r w:rsidRPr="00072E1B">
              <w:t>R≤100</w:t>
            </w:r>
          </w:p>
        </w:tc>
        <w:tc>
          <w:tcPr>
            <w:tcW w:w="1487" w:type="dxa"/>
            <w:shd w:val="clear" w:color="auto" w:fill="auto"/>
            <w:vAlign w:val="center"/>
          </w:tcPr>
          <w:p w:rsidR="00380AFC" w:rsidRPr="00072E1B" w:rsidRDefault="00380AFC" w:rsidP="00380AFC">
            <w:pPr>
              <w:jc w:val="center"/>
            </w:pPr>
            <w:r w:rsidRPr="00072E1B">
              <w:t>1-2.5</w:t>
            </w:r>
          </w:p>
          <w:p w:rsidR="00380AFC" w:rsidRPr="00072E1B" w:rsidRDefault="00380AFC" w:rsidP="00380AFC">
            <w:pPr>
              <w:jc w:val="center"/>
            </w:pPr>
            <w:r w:rsidRPr="00072E1B">
              <w:t>1-5 (goal)</w:t>
            </w:r>
          </w:p>
        </w:tc>
        <w:tc>
          <w:tcPr>
            <w:tcW w:w="1423" w:type="dxa"/>
            <w:shd w:val="clear" w:color="auto" w:fill="auto"/>
            <w:vAlign w:val="center"/>
          </w:tcPr>
          <w:p w:rsidR="00380AFC" w:rsidRPr="00072E1B" w:rsidRDefault="00380AFC" w:rsidP="00380AFC">
            <w:pPr>
              <w:jc w:val="center"/>
            </w:pPr>
            <w:r w:rsidRPr="00072E1B">
              <w:t>10</w:t>
            </w:r>
            <w:r w:rsidRPr="00072E1B">
              <w:rPr>
                <w:vertAlign w:val="superscript"/>
              </w:rPr>
              <w:t>8</w:t>
            </w:r>
            <w:r w:rsidRPr="00072E1B">
              <w:t xml:space="preserve"> contrast </w:t>
            </w:r>
          </w:p>
          <w:p w:rsidR="00380AFC" w:rsidRPr="00072E1B" w:rsidRDefault="00380AFC" w:rsidP="00380AFC">
            <w:pPr>
              <w:jc w:val="center"/>
            </w:pPr>
            <w:r w:rsidRPr="00072E1B">
              <w:t>10</w:t>
            </w:r>
            <w:r w:rsidRPr="00072E1B">
              <w:rPr>
                <w:vertAlign w:val="superscript"/>
              </w:rPr>
              <w:t xml:space="preserve">9 </w:t>
            </w:r>
            <w:r w:rsidRPr="00072E1B">
              <w:t>goal</w:t>
            </w:r>
          </w:p>
        </w:tc>
      </w:tr>
      <w:tr w:rsidR="00380AFC" w:rsidRPr="003E0309">
        <w:tblPrEx>
          <w:tblCellMar>
            <w:top w:w="0" w:type="dxa"/>
            <w:bottom w:w="0" w:type="dxa"/>
          </w:tblCellMar>
        </w:tblPrEx>
        <w:trPr>
          <w:jc w:val="center"/>
        </w:trPr>
        <w:tc>
          <w:tcPr>
            <w:tcW w:w="2530" w:type="dxa"/>
            <w:shd w:val="clear" w:color="auto" w:fill="auto"/>
            <w:vAlign w:val="center"/>
          </w:tcPr>
          <w:p w:rsidR="00380AFC" w:rsidRPr="00072E1B" w:rsidRDefault="00380AFC" w:rsidP="00380AFC">
            <w:pPr>
              <w:jc w:val="center"/>
            </w:pPr>
            <w:r w:rsidRPr="00072E1B">
              <w:t>Near-IR AO-fed Echelle Spectrometer (NIRES)</w:t>
            </w:r>
          </w:p>
        </w:tc>
        <w:tc>
          <w:tcPr>
            <w:tcW w:w="1776" w:type="dxa"/>
            <w:shd w:val="clear" w:color="auto" w:fill="auto"/>
            <w:vAlign w:val="center"/>
          </w:tcPr>
          <w:p w:rsidR="00380AFC" w:rsidRPr="00072E1B" w:rsidRDefault="00380AFC" w:rsidP="00380AFC">
            <w:pPr>
              <w:jc w:val="center"/>
            </w:pPr>
            <w:r w:rsidRPr="00072E1B">
              <w:t>2</w:t>
            </w:r>
            <w:r w:rsidRPr="00072E1B">
              <w:sym w:font="Symbol" w:char="F0A2"/>
            </w:r>
            <w:r w:rsidRPr="00072E1B">
              <w:sym w:font="Symbol" w:char="F0A2"/>
            </w:r>
            <w:r w:rsidRPr="00072E1B">
              <w:t xml:space="preserve"> slit length</w:t>
            </w:r>
          </w:p>
          <w:p w:rsidR="00380AFC" w:rsidRPr="00072E1B" w:rsidRDefault="00380AFC" w:rsidP="00380AFC">
            <w:pPr>
              <w:jc w:val="center"/>
            </w:pPr>
          </w:p>
        </w:tc>
        <w:tc>
          <w:tcPr>
            <w:tcW w:w="2034" w:type="dxa"/>
            <w:shd w:val="clear" w:color="auto" w:fill="auto"/>
            <w:vAlign w:val="center"/>
          </w:tcPr>
          <w:p w:rsidR="00380AFC" w:rsidRPr="00072E1B" w:rsidRDefault="00380AFC" w:rsidP="00380AFC">
            <w:pPr>
              <w:jc w:val="center"/>
            </w:pPr>
            <w:r w:rsidRPr="00072E1B">
              <w:t>20000-100000</w:t>
            </w:r>
          </w:p>
        </w:tc>
        <w:tc>
          <w:tcPr>
            <w:tcW w:w="1487" w:type="dxa"/>
            <w:shd w:val="clear" w:color="auto" w:fill="auto"/>
            <w:vAlign w:val="center"/>
          </w:tcPr>
          <w:p w:rsidR="00380AFC" w:rsidRPr="00072E1B" w:rsidRDefault="00380AFC" w:rsidP="00380AFC">
            <w:pPr>
              <w:jc w:val="center"/>
            </w:pPr>
            <w:r w:rsidRPr="00072E1B">
              <w:t>1-5</w:t>
            </w:r>
          </w:p>
        </w:tc>
        <w:tc>
          <w:tcPr>
            <w:tcW w:w="1423" w:type="dxa"/>
            <w:shd w:val="clear" w:color="auto" w:fill="auto"/>
            <w:vAlign w:val="center"/>
          </w:tcPr>
          <w:p w:rsidR="00380AFC" w:rsidRPr="00072E1B" w:rsidRDefault="00380AFC" w:rsidP="00380AFC">
            <w:pPr>
              <w:ind w:right="-196"/>
              <w:jc w:val="center"/>
            </w:pPr>
            <w:r w:rsidRPr="00072E1B">
              <w:t>NFIRAOS</w:t>
            </w:r>
          </w:p>
        </w:tc>
      </w:tr>
      <w:tr w:rsidR="00380AFC" w:rsidRPr="003E0309">
        <w:tblPrEx>
          <w:tblCellMar>
            <w:top w:w="0" w:type="dxa"/>
            <w:bottom w:w="0" w:type="dxa"/>
          </w:tblCellMar>
        </w:tblPrEx>
        <w:trPr>
          <w:jc w:val="center"/>
        </w:trPr>
        <w:tc>
          <w:tcPr>
            <w:tcW w:w="2530" w:type="dxa"/>
            <w:shd w:val="clear" w:color="auto" w:fill="auto"/>
            <w:vAlign w:val="center"/>
          </w:tcPr>
          <w:p w:rsidR="00380AFC" w:rsidRPr="00072E1B" w:rsidRDefault="00380AFC" w:rsidP="00380AFC">
            <w:pPr>
              <w:jc w:val="center"/>
            </w:pPr>
            <w:r w:rsidRPr="00072E1B">
              <w:t>High-Resolution Optical Spectrometer (HROS)</w:t>
            </w:r>
          </w:p>
        </w:tc>
        <w:tc>
          <w:tcPr>
            <w:tcW w:w="1776" w:type="dxa"/>
            <w:shd w:val="clear" w:color="auto" w:fill="auto"/>
            <w:vAlign w:val="center"/>
          </w:tcPr>
          <w:p w:rsidR="00380AFC" w:rsidRPr="00072E1B" w:rsidRDefault="00380AFC" w:rsidP="00380AFC">
            <w:pPr>
              <w:jc w:val="center"/>
            </w:pPr>
            <w:r w:rsidRPr="00072E1B">
              <w:t>5</w:t>
            </w:r>
            <w:r w:rsidRPr="00072E1B">
              <w:sym w:font="Symbol" w:char="F0A2"/>
            </w:r>
            <w:r w:rsidRPr="00072E1B">
              <w:sym w:font="Symbol" w:char="F0A2"/>
            </w:r>
            <w:r w:rsidRPr="00072E1B">
              <w:t xml:space="preserve"> slit length</w:t>
            </w:r>
          </w:p>
        </w:tc>
        <w:tc>
          <w:tcPr>
            <w:tcW w:w="2034" w:type="dxa"/>
            <w:shd w:val="clear" w:color="auto" w:fill="auto"/>
            <w:vAlign w:val="center"/>
          </w:tcPr>
          <w:p w:rsidR="00380AFC" w:rsidRPr="00072E1B" w:rsidRDefault="00380AFC" w:rsidP="00380AFC">
            <w:pPr>
              <w:jc w:val="center"/>
            </w:pPr>
            <w:r w:rsidRPr="00072E1B">
              <w:t>50000</w:t>
            </w:r>
          </w:p>
        </w:tc>
        <w:tc>
          <w:tcPr>
            <w:tcW w:w="1487" w:type="dxa"/>
            <w:shd w:val="clear" w:color="auto" w:fill="auto"/>
            <w:vAlign w:val="center"/>
          </w:tcPr>
          <w:p w:rsidR="00380AFC" w:rsidRPr="00072E1B" w:rsidRDefault="00380AFC" w:rsidP="00380AFC">
            <w:pPr>
              <w:jc w:val="center"/>
            </w:pPr>
            <w:r w:rsidRPr="00072E1B">
              <w:t>0.31-1.1</w:t>
            </w:r>
          </w:p>
          <w:p w:rsidR="00380AFC" w:rsidRPr="00072E1B" w:rsidRDefault="00380AFC" w:rsidP="00380AFC">
            <w:pPr>
              <w:jc w:val="center"/>
            </w:pPr>
            <w:r w:rsidRPr="00072E1B">
              <w:t>0.31-1.3(goal)</w:t>
            </w:r>
          </w:p>
        </w:tc>
        <w:tc>
          <w:tcPr>
            <w:tcW w:w="1423" w:type="dxa"/>
            <w:shd w:val="clear" w:color="auto" w:fill="auto"/>
            <w:vAlign w:val="center"/>
          </w:tcPr>
          <w:p w:rsidR="00380AFC" w:rsidRPr="00072E1B" w:rsidRDefault="00380AFC" w:rsidP="00380AFC">
            <w:pPr>
              <w:ind w:right="-196"/>
              <w:jc w:val="center"/>
            </w:pPr>
            <w:r w:rsidRPr="00072E1B">
              <w:t>SL</w:t>
            </w:r>
          </w:p>
        </w:tc>
      </w:tr>
      <w:tr w:rsidR="00380AFC" w:rsidRPr="003E0309">
        <w:tblPrEx>
          <w:tblCellMar>
            <w:top w:w="0" w:type="dxa"/>
            <w:bottom w:w="0" w:type="dxa"/>
          </w:tblCellMar>
        </w:tblPrEx>
        <w:trPr>
          <w:jc w:val="center"/>
        </w:trPr>
        <w:tc>
          <w:tcPr>
            <w:tcW w:w="2530" w:type="dxa"/>
            <w:shd w:val="clear" w:color="auto" w:fill="auto"/>
            <w:vAlign w:val="center"/>
          </w:tcPr>
          <w:p w:rsidR="00380AFC" w:rsidRPr="00072E1B" w:rsidRDefault="00380AFC" w:rsidP="00380AFC">
            <w:pPr>
              <w:jc w:val="center"/>
            </w:pPr>
            <w:r w:rsidRPr="00072E1B">
              <w:t>“Wide”-field AO imager</w:t>
            </w:r>
          </w:p>
          <w:p w:rsidR="00380AFC" w:rsidRPr="00072E1B" w:rsidRDefault="00380AFC" w:rsidP="00380AFC">
            <w:pPr>
              <w:jc w:val="center"/>
            </w:pPr>
            <w:r w:rsidRPr="00072E1B">
              <w:t>(WIRC)</w:t>
            </w:r>
          </w:p>
        </w:tc>
        <w:tc>
          <w:tcPr>
            <w:tcW w:w="1776" w:type="dxa"/>
            <w:shd w:val="clear" w:color="auto" w:fill="auto"/>
            <w:vAlign w:val="center"/>
          </w:tcPr>
          <w:p w:rsidR="00380AFC" w:rsidRPr="00072E1B" w:rsidRDefault="00380AFC" w:rsidP="00380AFC">
            <w:pPr>
              <w:jc w:val="center"/>
            </w:pPr>
            <w:r w:rsidRPr="00072E1B">
              <w:t>30</w:t>
            </w:r>
            <w:r w:rsidRPr="00072E1B">
              <w:sym w:font="Symbol" w:char="F0A2"/>
            </w:r>
            <w:r w:rsidRPr="00072E1B">
              <w:sym w:font="Symbol" w:char="F0A2"/>
            </w:r>
            <w:r w:rsidRPr="00072E1B">
              <w:t xml:space="preserve"> imaging field</w:t>
            </w:r>
          </w:p>
        </w:tc>
        <w:tc>
          <w:tcPr>
            <w:tcW w:w="2034" w:type="dxa"/>
            <w:shd w:val="clear" w:color="auto" w:fill="auto"/>
            <w:vAlign w:val="center"/>
          </w:tcPr>
          <w:p w:rsidR="00380AFC" w:rsidRPr="00072E1B" w:rsidRDefault="00380AFC" w:rsidP="00380AFC">
            <w:pPr>
              <w:jc w:val="center"/>
            </w:pPr>
            <w:r w:rsidRPr="00072E1B">
              <w:t>5-100</w:t>
            </w:r>
          </w:p>
        </w:tc>
        <w:tc>
          <w:tcPr>
            <w:tcW w:w="1487" w:type="dxa"/>
            <w:shd w:val="clear" w:color="auto" w:fill="auto"/>
            <w:vAlign w:val="center"/>
          </w:tcPr>
          <w:p w:rsidR="00380AFC" w:rsidRPr="00072E1B" w:rsidRDefault="00380AFC" w:rsidP="00380AFC">
            <w:pPr>
              <w:jc w:val="center"/>
            </w:pPr>
            <w:r w:rsidRPr="00072E1B">
              <w:t>0.8-5.0</w:t>
            </w:r>
          </w:p>
          <w:p w:rsidR="00380AFC" w:rsidRPr="00072E1B" w:rsidRDefault="00380AFC" w:rsidP="00380AFC">
            <w:pPr>
              <w:jc w:val="center"/>
            </w:pPr>
            <w:r w:rsidRPr="00072E1B">
              <w:t>0.6-5.0(goal)</w:t>
            </w:r>
          </w:p>
        </w:tc>
        <w:tc>
          <w:tcPr>
            <w:tcW w:w="1423" w:type="dxa"/>
            <w:shd w:val="clear" w:color="auto" w:fill="auto"/>
            <w:vAlign w:val="center"/>
          </w:tcPr>
          <w:p w:rsidR="00380AFC" w:rsidRPr="00072E1B" w:rsidRDefault="00380AFC" w:rsidP="00380AFC">
            <w:pPr>
              <w:keepNext/>
              <w:ind w:right="-196"/>
              <w:jc w:val="center"/>
            </w:pPr>
            <w:r w:rsidRPr="00072E1B">
              <w:t>NFIRAOS</w:t>
            </w:r>
          </w:p>
        </w:tc>
      </w:tr>
    </w:tbl>
    <w:p w:rsidR="00380AFC" w:rsidRDefault="00380AFC" w:rsidP="00380AFC">
      <w:pPr>
        <w:ind w:right="161"/>
      </w:pPr>
    </w:p>
    <w:p w:rsidR="00380AFC" w:rsidRDefault="00380AFC" w:rsidP="00380AFC">
      <w:pPr>
        <w:ind w:right="161"/>
      </w:pPr>
    </w:p>
    <w:p w:rsidR="00380AFC" w:rsidRDefault="00380AFC" w:rsidP="00380AFC">
      <w:pPr>
        <w:jc w:val="both"/>
        <w:rPr>
          <w:rFonts w:cs="Times-Roman"/>
          <w:color w:val="000000"/>
        </w:rPr>
      </w:pPr>
      <w:r w:rsidRPr="00D02925">
        <w:rPr>
          <w:rFonts w:cs="Times-Roman"/>
          <w:color w:val="000000"/>
        </w:rPr>
        <w:t xml:space="preserve">The key variables defining the TMT discovery space are flux, spectral and spatial resolution, and wavelength coverage. </w:t>
      </w:r>
      <w:r w:rsidRPr="00BE74E6">
        <w:rPr>
          <w:rFonts w:cs="Times-Roman"/>
          <w:color w:val="000000"/>
        </w:rPr>
        <w:t>Figure 2</w:t>
      </w:r>
      <w:r w:rsidRPr="00D02925">
        <w:rPr>
          <w:rFonts w:cs="Times-Roman"/>
          <w:color w:val="000000"/>
        </w:rPr>
        <w:t xml:space="preserve"> graphically shows one projection of that discovery space that extremely large telescope</w:t>
      </w:r>
      <w:r>
        <w:rPr>
          <w:rFonts w:cs="Times-Roman"/>
          <w:color w:val="000000"/>
        </w:rPr>
        <w:t>s</w:t>
      </w:r>
      <w:r w:rsidRPr="00D02925">
        <w:rPr>
          <w:rFonts w:cs="Times-Roman"/>
          <w:color w:val="000000"/>
        </w:rPr>
        <w:t xml:space="preserve"> will be able to explore particularly well. The overlap between science programs and planned instrument capabilities is excellent.</w:t>
      </w:r>
    </w:p>
    <w:p w:rsidR="00380AFC" w:rsidRPr="00D02925" w:rsidRDefault="00380AFC" w:rsidP="00380AFC">
      <w:pPr>
        <w:jc w:val="both"/>
        <w:rPr>
          <w:rFonts w:cs="Times-Roman"/>
          <w:color w:val="000000"/>
        </w:rPr>
      </w:pPr>
    </w:p>
    <w:tbl>
      <w:tblPr>
        <w:tblW w:w="0" w:type="auto"/>
        <w:tblLook w:val="00BF" w:firstRow="1" w:lastRow="0" w:firstColumn="1" w:lastColumn="0" w:noHBand="0" w:noVBand="0"/>
      </w:tblPr>
      <w:tblGrid>
        <w:gridCol w:w="8640"/>
      </w:tblGrid>
      <w:tr w:rsidR="00380AFC" w:rsidRPr="002F2014">
        <w:tc>
          <w:tcPr>
            <w:tcW w:w="9576" w:type="dxa"/>
            <w:vAlign w:val="center"/>
          </w:tcPr>
          <w:p w:rsidR="00380AFC" w:rsidRPr="002F2014" w:rsidRDefault="000A0687" w:rsidP="00380AFC">
            <w:pPr>
              <w:jc w:val="center"/>
              <w:rPr>
                <w:sz w:val="22"/>
              </w:rPr>
            </w:pPr>
            <w:r w:rsidRPr="007C644B">
              <w:rPr>
                <w:noProof/>
                <w:sz w:val="22"/>
              </w:rPr>
              <w:drawing>
                <wp:inline distT="0" distB="0" distL="0" distR="0">
                  <wp:extent cx="4419600" cy="3333750"/>
                  <wp:effectExtent l="0" t="0" r="0" b="0"/>
                  <wp:docPr id="1" name="Picture 1" descr="tmt_discov_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t_discov_sp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9600" cy="3333750"/>
                          </a:xfrm>
                          <a:prstGeom prst="rect">
                            <a:avLst/>
                          </a:prstGeom>
                          <a:noFill/>
                          <a:ln>
                            <a:noFill/>
                          </a:ln>
                        </pic:spPr>
                      </pic:pic>
                    </a:graphicData>
                  </a:graphic>
                </wp:inline>
              </w:drawing>
            </w:r>
          </w:p>
        </w:tc>
      </w:tr>
      <w:tr w:rsidR="00380AFC" w:rsidRPr="002F2014">
        <w:tc>
          <w:tcPr>
            <w:tcW w:w="0" w:type="auto"/>
          </w:tcPr>
          <w:p w:rsidR="00380AFC" w:rsidRPr="00664A84" w:rsidRDefault="00380AFC" w:rsidP="00380AFC">
            <w:pPr>
              <w:pStyle w:val="Caption"/>
              <w:rPr>
                <w:b w:val="0"/>
                <w:i/>
                <w:iCs/>
                <w:sz w:val="22"/>
              </w:rPr>
            </w:pPr>
            <w:r>
              <w:rPr>
                <w:i/>
                <w:iCs/>
                <w:sz w:val="22"/>
              </w:rPr>
              <w:t>Figure 2</w:t>
            </w:r>
            <w:r w:rsidRPr="00664A84">
              <w:rPr>
                <w:b w:val="0"/>
                <w:i/>
                <w:iCs/>
                <w:sz w:val="22"/>
              </w:rPr>
              <w:t>: Science programs and instrumentation capabilities in spectral versus spatial resolution discovery space.</w:t>
            </w:r>
          </w:p>
        </w:tc>
      </w:tr>
    </w:tbl>
    <w:p w:rsidR="00380AFC" w:rsidRDefault="00380AFC" w:rsidP="005D0334">
      <w:pPr>
        <w:jc w:val="both"/>
      </w:pPr>
    </w:p>
    <w:sectPr w:rsidR="00380AFC" w:rsidSect="00380AF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4A"/>
    <w:rsid w:val="000A0687"/>
    <w:rsid w:val="00380AFC"/>
    <w:rsid w:val="005D0334"/>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5:chartTrackingRefBased/>
  <w15:docId w15:val="{7C6DB99C-E408-4F9F-A83A-E0676D5C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536"/>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aption">
    <w:name w:val="caption"/>
    <w:basedOn w:val="Normal"/>
    <w:next w:val="Normal"/>
    <w:qFormat/>
    <w:rsid w:val="001A01C0"/>
    <w:pPr>
      <w:spacing w:before="120" w:after="120"/>
    </w:pPr>
    <w:rPr>
      <w:rFonts w:ascii="Times" w:eastAsia="Times" w:hAnsi="Times"/>
      <w:b/>
      <w:szCs w:val="20"/>
    </w:rPr>
  </w:style>
  <w:style w:type="table" w:styleId="TableGrid">
    <w:name w:val="Table Grid"/>
    <w:basedOn w:val="TableNormal"/>
    <w:uiPriority w:val="59"/>
    <w:rsid w:val="00D506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National Research Council Canada</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Simard</dc:creator>
  <cp:keywords/>
  <cp:lastModifiedBy>ivona</cp:lastModifiedBy>
  <cp:revision>2</cp:revision>
  <dcterms:created xsi:type="dcterms:W3CDTF">2017-12-15T23:36:00Z</dcterms:created>
  <dcterms:modified xsi:type="dcterms:W3CDTF">2017-12-15T23:36:00Z</dcterms:modified>
</cp:coreProperties>
</file>